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9C05" w14:textId="5A103331" w:rsidR="00F545FF" w:rsidRPr="00465FD4" w:rsidRDefault="00122EFE" w:rsidP="00E663CA">
      <w:pPr>
        <w:jc w:val="both"/>
        <w:rPr>
          <w:lang w:val="en-GB"/>
        </w:rPr>
      </w:pPr>
      <w:r w:rsidRPr="00465FD4">
        <w:rPr>
          <w:noProof/>
          <w:lang w:val="en-GB"/>
        </w:rPr>
        <w:drawing>
          <wp:inline distT="0" distB="0" distL="0" distR="0" wp14:anchorId="3A88CEAB" wp14:editId="3E702B67">
            <wp:extent cx="5760720" cy="96012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292F" w14:textId="77777777" w:rsidR="005E499E" w:rsidRPr="00465FD4" w:rsidRDefault="005E499E" w:rsidP="00E663CA">
      <w:pPr>
        <w:jc w:val="both"/>
        <w:rPr>
          <w:lang w:val="en-GB"/>
        </w:rPr>
      </w:pPr>
    </w:p>
    <w:p w14:paraId="3383C0D9" w14:textId="612E9761" w:rsidR="005E499E" w:rsidRPr="00465FD4" w:rsidRDefault="00114445" w:rsidP="00E663CA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65FD4">
        <w:rPr>
          <w:rFonts w:ascii="Arial" w:hAnsi="Arial" w:cs="Arial"/>
          <w:b/>
          <w:sz w:val="28"/>
          <w:szCs w:val="28"/>
          <w:lang w:val="en-GB"/>
        </w:rPr>
        <w:t xml:space="preserve">FINAL OVERVIEW FURNITURE FAIR </w:t>
      </w:r>
      <w:r w:rsidR="005E499E" w:rsidRPr="00465FD4">
        <w:rPr>
          <w:rFonts w:ascii="Arial" w:hAnsi="Arial" w:cs="Arial"/>
          <w:b/>
          <w:sz w:val="28"/>
          <w:szCs w:val="28"/>
          <w:lang w:val="en-GB"/>
        </w:rPr>
        <w:t>20</w:t>
      </w:r>
      <w:r w:rsidR="00DC4AE1" w:rsidRPr="00465FD4">
        <w:rPr>
          <w:rFonts w:ascii="Arial" w:hAnsi="Arial" w:cs="Arial"/>
          <w:b/>
          <w:sz w:val="28"/>
          <w:szCs w:val="28"/>
          <w:lang w:val="en-GB"/>
        </w:rPr>
        <w:t>2</w:t>
      </w:r>
      <w:r w:rsidR="008D70F7" w:rsidRPr="00465FD4">
        <w:rPr>
          <w:rFonts w:ascii="Arial" w:hAnsi="Arial" w:cs="Arial"/>
          <w:b/>
          <w:sz w:val="28"/>
          <w:szCs w:val="28"/>
          <w:lang w:val="en-GB"/>
        </w:rPr>
        <w:t>2</w:t>
      </w:r>
    </w:p>
    <w:p w14:paraId="608A1754" w14:textId="1A753D34" w:rsidR="00690136" w:rsidRPr="00465FD4" w:rsidRDefault="00690136" w:rsidP="00E663CA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EB9A74B" w14:textId="275122DE" w:rsidR="004E6BBC" w:rsidRPr="00465FD4" w:rsidRDefault="004E6BBC" w:rsidP="00E663CA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8CB5226" w14:textId="77777777" w:rsidR="00053BB1" w:rsidRPr="00465FD4" w:rsidRDefault="00053BB1" w:rsidP="00E663CA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41066009" w14:textId="1CC43C22" w:rsidR="004217E8" w:rsidRPr="00465FD4" w:rsidRDefault="004217E8" w:rsidP="00E663CA">
      <w:pPr>
        <w:jc w:val="both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465FD4">
        <w:rPr>
          <w:rFonts w:ascii="Arial" w:hAnsi="Arial" w:cs="Arial"/>
          <w:b/>
          <w:bCs/>
          <w:iCs/>
          <w:sz w:val="24"/>
          <w:szCs w:val="24"/>
          <w:lang w:val="en-GB"/>
        </w:rPr>
        <w:t>Back on track!</w:t>
      </w:r>
    </w:p>
    <w:p w14:paraId="2F43986E" w14:textId="4F3B70A7" w:rsidR="00D6678F" w:rsidRPr="00465FD4" w:rsidRDefault="00D6678F" w:rsidP="00E663CA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2B9A3836" w14:textId="641C8025" w:rsidR="00114445" w:rsidRPr="00465FD4" w:rsidRDefault="00114445" w:rsidP="00E663CA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465FD4">
        <w:rPr>
          <w:rFonts w:ascii="Arial" w:hAnsi="Arial" w:cs="Arial"/>
          <w:i/>
          <w:sz w:val="24"/>
          <w:szCs w:val="24"/>
          <w:lang w:val="en-GB"/>
        </w:rPr>
        <w:t>Anyone walking through the corridors of the Furniture Fair</w:t>
      </w:r>
      <w:r w:rsidR="00D307A4">
        <w:rPr>
          <w:rFonts w:ascii="Arial" w:hAnsi="Arial" w:cs="Arial"/>
          <w:i/>
          <w:sz w:val="24"/>
          <w:szCs w:val="24"/>
          <w:lang w:val="en-GB"/>
        </w:rPr>
        <w:t>,</w:t>
      </w:r>
      <w:r w:rsidRPr="00465FD4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D307A4" w:rsidRPr="00465FD4">
        <w:rPr>
          <w:rFonts w:ascii="Arial" w:hAnsi="Arial" w:cs="Arial"/>
          <w:i/>
          <w:sz w:val="24"/>
          <w:szCs w:val="24"/>
          <w:lang w:val="en-GB"/>
        </w:rPr>
        <w:t>in amongst all those beautiful pieces</w:t>
      </w:r>
      <w:r w:rsidR="00D307A4">
        <w:rPr>
          <w:rFonts w:ascii="Arial" w:hAnsi="Arial" w:cs="Arial"/>
          <w:i/>
          <w:sz w:val="24"/>
          <w:szCs w:val="24"/>
          <w:lang w:val="en-GB"/>
        </w:rPr>
        <w:t>,</w:t>
      </w:r>
      <w:r w:rsidR="00D307A4" w:rsidRPr="00465FD4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D307A4">
        <w:rPr>
          <w:rFonts w:ascii="Arial" w:hAnsi="Arial" w:cs="Arial"/>
          <w:i/>
          <w:sz w:val="24"/>
          <w:szCs w:val="24"/>
          <w:lang w:val="en-GB"/>
        </w:rPr>
        <w:t>was greeted by</w:t>
      </w:r>
      <w:r w:rsidRPr="00465FD4">
        <w:rPr>
          <w:rFonts w:ascii="Arial" w:hAnsi="Arial" w:cs="Arial"/>
          <w:i/>
          <w:sz w:val="24"/>
          <w:szCs w:val="24"/>
          <w:lang w:val="en-GB"/>
        </w:rPr>
        <w:t xml:space="preserve"> almost exclusively smiling faces. The atmosphere was good… very good, </w:t>
      </w:r>
      <w:r w:rsidR="001F0927">
        <w:rPr>
          <w:rFonts w:ascii="Arial" w:hAnsi="Arial" w:cs="Arial"/>
          <w:i/>
          <w:sz w:val="24"/>
          <w:szCs w:val="24"/>
          <w:lang w:val="en-GB"/>
        </w:rPr>
        <w:t>in fact</w:t>
      </w:r>
      <w:r w:rsidRPr="00465FD4">
        <w:rPr>
          <w:rFonts w:ascii="Arial" w:hAnsi="Arial" w:cs="Arial"/>
          <w:i/>
          <w:sz w:val="24"/>
          <w:szCs w:val="24"/>
          <w:lang w:val="en-GB"/>
        </w:rPr>
        <w:t xml:space="preserve">. The Furniture Fair pulled people into its bubble, a bubble brimming with positivity, where even </w:t>
      </w:r>
      <w:r w:rsidR="00CB5181">
        <w:rPr>
          <w:rFonts w:ascii="Arial" w:hAnsi="Arial" w:cs="Arial"/>
          <w:i/>
          <w:sz w:val="24"/>
          <w:szCs w:val="24"/>
          <w:lang w:val="en-GB"/>
        </w:rPr>
        <w:t>today’s</w:t>
      </w:r>
      <w:r w:rsidRPr="00465FD4">
        <w:rPr>
          <w:rFonts w:ascii="Arial" w:hAnsi="Arial" w:cs="Arial"/>
          <w:i/>
          <w:sz w:val="24"/>
          <w:szCs w:val="24"/>
          <w:lang w:val="en-GB"/>
        </w:rPr>
        <w:t xml:space="preserve"> challenges were temporarily a thing of the past</w:t>
      </w:r>
      <w:r w:rsidR="00D6678F" w:rsidRPr="00465FD4">
        <w:rPr>
          <w:rFonts w:ascii="Arial" w:hAnsi="Arial" w:cs="Arial"/>
          <w:i/>
          <w:sz w:val="24"/>
          <w:szCs w:val="24"/>
          <w:lang w:val="en-GB"/>
        </w:rPr>
        <w:t>.</w:t>
      </w:r>
      <w:r w:rsidRPr="00465FD4">
        <w:rPr>
          <w:rFonts w:ascii="Arial" w:hAnsi="Arial" w:cs="Arial"/>
          <w:i/>
          <w:sz w:val="24"/>
          <w:szCs w:val="24"/>
          <w:lang w:val="en-GB"/>
        </w:rPr>
        <w:t xml:space="preserve"> Doing good business usually means a bright future, so let that be the feeling </w:t>
      </w:r>
      <w:r w:rsidR="00CB5181">
        <w:rPr>
          <w:rFonts w:ascii="Arial" w:hAnsi="Arial" w:cs="Arial"/>
          <w:i/>
          <w:sz w:val="24"/>
          <w:szCs w:val="24"/>
          <w:lang w:val="en-GB"/>
        </w:rPr>
        <w:t xml:space="preserve">with which </w:t>
      </w:r>
      <w:r w:rsidRPr="00465FD4">
        <w:rPr>
          <w:rFonts w:ascii="Arial" w:hAnsi="Arial" w:cs="Arial"/>
          <w:i/>
          <w:sz w:val="24"/>
          <w:szCs w:val="24"/>
          <w:lang w:val="en-GB"/>
        </w:rPr>
        <w:t>the majority of exhibitors and visitors left the fair.</w:t>
      </w:r>
    </w:p>
    <w:p w14:paraId="15F2DA5E" w14:textId="20B00F68" w:rsidR="00D6678F" w:rsidRPr="00465FD4" w:rsidRDefault="00D6678F" w:rsidP="00E663CA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140B78DD" w14:textId="0CB2E072" w:rsidR="0033703E" w:rsidRPr="00465FD4" w:rsidRDefault="00114445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The Brussels Furniture Fair is </w:t>
      </w:r>
      <w:r w:rsidR="00BB5590">
        <w:rPr>
          <w:rFonts w:ascii="Arial" w:hAnsi="Arial" w:cs="Arial"/>
          <w:iCs/>
          <w:sz w:val="24"/>
          <w:szCs w:val="24"/>
          <w:lang w:val="en-GB"/>
        </w:rPr>
        <w:t>adept at</w:t>
      </w:r>
      <w:r w:rsidR="00D31642" w:rsidRPr="00465FD4">
        <w:rPr>
          <w:rFonts w:ascii="Arial" w:hAnsi="Arial" w:cs="Arial"/>
          <w:iCs/>
          <w:sz w:val="24"/>
          <w:szCs w:val="24"/>
          <w:lang w:val="en-GB"/>
        </w:rPr>
        <w:t xml:space="preserve"> transforming the </w:t>
      </w:r>
      <w:r w:rsidR="00BB5590">
        <w:rPr>
          <w:rFonts w:ascii="Arial" w:hAnsi="Arial" w:cs="Arial"/>
          <w:iCs/>
          <w:sz w:val="24"/>
          <w:szCs w:val="24"/>
          <w:lang w:val="en-GB"/>
        </w:rPr>
        <w:t>rather faded</w:t>
      </w:r>
      <w:r w:rsidR="00D31642" w:rsidRPr="00465FD4">
        <w:rPr>
          <w:rFonts w:ascii="Arial" w:hAnsi="Arial" w:cs="Arial"/>
          <w:iCs/>
          <w:sz w:val="24"/>
          <w:szCs w:val="24"/>
          <w:lang w:val="en-GB"/>
        </w:rPr>
        <w:t xml:space="preserve"> palaces of </w:t>
      </w:r>
      <w:r w:rsidR="00D6678F" w:rsidRPr="00465FD4">
        <w:rPr>
          <w:rFonts w:ascii="Arial" w:hAnsi="Arial" w:cs="Arial"/>
          <w:iCs/>
          <w:sz w:val="24"/>
          <w:szCs w:val="24"/>
          <w:lang w:val="en-GB"/>
        </w:rPr>
        <w:t xml:space="preserve">Brussels Expo </w:t>
      </w:r>
      <w:r w:rsidR="00D31642" w:rsidRPr="00465FD4">
        <w:rPr>
          <w:rFonts w:ascii="Arial" w:hAnsi="Arial" w:cs="Arial"/>
          <w:iCs/>
          <w:sz w:val="24"/>
          <w:szCs w:val="24"/>
          <w:lang w:val="en-GB"/>
        </w:rPr>
        <w:t xml:space="preserve">into a veritable furniture temple. After scanning their ticket, visitors find themselves in a bubble, completely shut off from the outside world. And </w:t>
      </w:r>
      <w:r w:rsidR="00D307A4" w:rsidRPr="00465FD4">
        <w:rPr>
          <w:rFonts w:ascii="Arial" w:hAnsi="Arial" w:cs="Arial"/>
          <w:iCs/>
          <w:sz w:val="24"/>
          <w:szCs w:val="24"/>
          <w:lang w:val="en-GB"/>
        </w:rPr>
        <w:t>at this edition of the Furniture Fair</w:t>
      </w:r>
      <w:r w:rsidR="00BB5590">
        <w:rPr>
          <w:rFonts w:ascii="Arial" w:hAnsi="Arial" w:cs="Arial"/>
          <w:iCs/>
          <w:sz w:val="24"/>
          <w:szCs w:val="24"/>
          <w:lang w:val="en-GB"/>
        </w:rPr>
        <w:t>,</w:t>
      </w:r>
      <w:r w:rsidR="00D307A4">
        <w:rPr>
          <w:rFonts w:ascii="Arial" w:hAnsi="Arial" w:cs="Arial"/>
          <w:iCs/>
          <w:sz w:val="24"/>
          <w:szCs w:val="24"/>
          <w:lang w:val="en-GB"/>
        </w:rPr>
        <w:t xml:space="preserve"> that</w:t>
      </w:r>
      <w:r w:rsidR="00D31642" w:rsidRPr="00465FD4">
        <w:rPr>
          <w:rFonts w:ascii="Arial" w:hAnsi="Arial" w:cs="Arial"/>
          <w:iCs/>
          <w:sz w:val="24"/>
          <w:szCs w:val="24"/>
          <w:lang w:val="en-GB"/>
        </w:rPr>
        <w:t xml:space="preserve"> could be taken very literally, as </w:t>
      </w:r>
      <w:r w:rsidR="00CB5181" w:rsidRPr="00465FD4">
        <w:rPr>
          <w:rFonts w:ascii="Arial" w:hAnsi="Arial" w:cs="Arial"/>
          <w:iCs/>
          <w:sz w:val="24"/>
          <w:szCs w:val="24"/>
          <w:lang w:val="en-GB"/>
        </w:rPr>
        <w:t xml:space="preserve">at the entrance </w:t>
      </w:r>
      <w:r w:rsidR="00D31642" w:rsidRPr="00465FD4">
        <w:rPr>
          <w:rFonts w:ascii="Arial" w:hAnsi="Arial" w:cs="Arial"/>
          <w:iCs/>
          <w:sz w:val="24"/>
          <w:szCs w:val="24"/>
          <w:lang w:val="en-GB"/>
        </w:rPr>
        <w:t xml:space="preserve">many visitors were immediately </w:t>
      </w:r>
      <w:r w:rsidR="00D307A4">
        <w:rPr>
          <w:rFonts w:ascii="Arial" w:hAnsi="Arial" w:cs="Arial"/>
          <w:iCs/>
          <w:sz w:val="24"/>
          <w:szCs w:val="24"/>
          <w:lang w:val="en-GB"/>
        </w:rPr>
        <w:t>astonished</w:t>
      </w:r>
      <w:r w:rsidR="00D31642" w:rsidRPr="00465FD4">
        <w:rPr>
          <w:rFonts w:ascii="Arial" w:hAnsi="Arial" w:cs="Arial"/>
          <w:iCs/>
          <w:sz w:val="24"/>
          <w:szCs w:val="24"/>
          <w:lang w:val="en-GB"/>
        </w:rPr>
        <w:t xml:space="preserve"> by an impressive reception and bar in the bubble theme. This set the tone straight away: coronavirus bubbles had made way for festive bubbles. And so it was time to celebrate again in furniture land!</w:t>
      </w:r>
      <w:r w:rsidR="00D6678F" w:rsidRPr="00465FD4">
        <w:rPr>
          <w:rFonts w:ascii="Arial" w:hAnsi="Arial" w:cs="Arial"/>
          <w:iCs/>
          <w:sz w:val="24"/>
          <w:szCs w:val="24"/>
          <w:lang w:val="en-GB"/>
        </w:rPr>
        <w:t xml:space="preserve"> </w:t>
      </w:r>
    </w:p>
    <w:p w14:paraId="26FB4FDD" w14:textId="12338FA1" w:rsidR="002937EB" w:rsidRPr="00465FD4" w:rsidRDefault="002937EB" w:rsidP="00E663CA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15ABD4A8" w14:textId="3396DB08" w:rsidR="00B120AB" w:rsidRPr="00465FD4" w:rsidRDefault="00D31642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Attractive stands, clever decorations and many new collections </w:t>
      </w:r>
      <w:r w:rsidR="001F0927">
        <w:rPr>
          <w:rFonts w:ascii="Arial" w:hAnsi="Arial" w:cs="Arial"/>
          <w:iCs/>
          <w:sz w:val="24"/>
          <w:szCs w:val="24"/>
          <w:lang w:val="en-GB"/>
        </w:rPr>
        <w:t>came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 next in what many described as an inspiring visit, characterised by originality, beauty and elegance. But</w:t>
      </w:r>
      <w:r w:rsidR="00D307A4">
        <w:rPr>
          <w:rFonts w:ascii="Arial" w:hAnsi="Arial" w:cs="Arial"/>
          <w:iCs/>
          <w:sz w:val="24"/>
          <w:szCs w:val="24"/>
          <w:lang w:val="en-GB"/>
        </w:rPr>
        <w:t xml:space="preserve"> above all,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CB5181">
        <w:rPr>
          <w:rFonts w:ascii="Arial" w:hAnsi="Arial" w:cs="Arial"/>
          <w:iCs/>
          <w:sz w:val="24"/>
          <w:szCs w:val="24"/>
          <w:lang w:val="en-GB"/>
        </w:rPr>
        <w:t>exhibitors</w:t>
      </w:r>
      <w:r w:rsidR="00D307A4">
        <w:rPr>
          <w:rFonts w:ascii="Arial" w:hAnsi="Arial" w:cs="Arial"/>
          <w:iCs/>
          <w:sz w:val="24"/>
          <w:szCs w:val="24"/>
          <w:lang w:val="en-GB"/>
        </w:rPr>
        <w:t xml:space="preserve"> reaped the rewards of their</w:t>
      </w:r>
      <w:r w:rsidR="00CB5181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hard work and investment </w:t>
      </w:r>
      <w:r w:rsidR="00D307A4">
        <w:rPr>
          <w:rFonts w:ascii="Arial" w:hAnsi="Arial" w:cs="Arial"/>
          <w:iCs/>
          <w:sz w:val="24"/>
          <w:szCs w:val="24"/>
          <w:lang w:val="en-GB"/>
        </w:rPr>
        <w:t>by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 doing good business. Because of course, </w:t>
      </w:r>
      <w:r w:rsidR="001F0927">
        <w:rPr>
          <w:rFonts w:ascii="Arial" w:hAnsi="Arial" w:cs="Arial"/>
          <w:iCs/>
          <w:sz w:val="24"/>
          <w:szCs w:val="24"/>
          <w:lang w:val="en-GB"/>
        </w:rPr>
        <w:t>that’s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 still the </w:t>
      </w:r>
      <w:r w:rsidR="00D307A4">
        <w:rPr>
          <w:rFonts w:ascii="Arial" w:hAnsi="Arial" w:cs="Arial"/>
          <w:iCs/>
          <w:sz w:val="24"/>
          <w:szCs w:val="24"/>
          <w:lang w:val="en-GB"/>
        </w:rPr>
        <w:t>fair’s core purpose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. Although the majority of </w:t>
      </w:r>
      <w:r w:rsidR="00D307A4">
        <w:rPr>
          <w:rFonts w:ascii="Arial" w:hAnsi="Arial" w:cs="Arial"/>
          <w:iCs/>
          <w:sz w:val="24"/>
          <w:szCs w:val="24"/>
          <w:lang w:val="en-GB"/>
        </w:rPr>
        <w:t>exhibitors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 reported fewer orders </w:t>
      </w:r>
      <w:r w:rsidR="001F0927">
        <w:rPr>
          <w:rFonts w:ascii="Arial" w:hAnsi="Arial" w:cs="Arial"/>
          <w:iCs/>
          <w:sz w:val="24"/>
          <w:szCs w:val="24"/>
          <w:lang w:val="en-GB"/>
        </w:rPr>
        <w:t xml:space="preserve">being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placed than during the po</w:t>
      </w:r>
      <w:r w:rsidR="00D307A4">
        <w:rPr>
          <w:rFonts w:ascii="Arial" w:hAnsi="Arial" w:cs="Arial"/>
          <w:iCs/>
          <w:sz w:val="24"/>
          <w:szCs w:val="24"/>
          <w:lang w:val="en-GB"/>
        </w:rPr>
        <w:t>s</w:t>
      </w:r>
      <w:r w:rsidRPr="00465FD4">
        <w:rPr>
          <w:rFonts w:ascii="Arial" w:hAnsi="Arial" w:cs="Arial"/>
          <w:iCs/>
          <w:sz w:val="24"/>
          <w:szCs w:val="24"/>
          <w:lang w:val="en-GB"/>
        </w:rPr>
        <w:t>t-coronavirus edition, the results still far exceeded expectations.</w:t>
      </w:r>
    </w:p>
    <w:p w14:paraId="36D1FEEA" w14:textId="312D28AE" w:rsidR="00B120AB" w:rsidRPr="00465FD4" w:rsidRDefault="00B120AB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C7E749A" w14:textId="488EC063" w:rsidR="00B120AB" w:rsidRPr="00465FD4" w:rsidRDefault="00D31642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465FD4">
        <w:rPr>
          <w:rFonts w:ascii="Arial" w:hAnsi="Arial" w:cs="Arial"/>
          <w:iCs/>
          <w:sz w:val="24"/>
          <w:szCs w:val="24"/>
          <w:lang w:val="en-GB"/>
        </w:rPr>
        <w:t>There was a similar story in Hall</w:t>
      </w:r>
      <w:r w:rsidR="00B120AB" w:rsidRPr="00465FD4">
        <w:rPr>
          <w:rFonts w:ascii="Arial" w:hAnsi="Arial" w:cs="Arial"/>
          <w:iCs/>
          <w:sz w:val="24"/>
          <w:szCs w:val="24"/>
          <w:lang w:val="en-GB"/>
        </w:rPr>
        <w:t xml:space="preserve"> 6, 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where the majority of exhibitors from the sleep sector gather. This is encouraging for the </w:t>
      </w:r>
      <w:r w:rsidR="00D307A4">
        <w:rPr>
          <w:rFonts w:ascii="Arial" w:hAnsi="Arial" w:cs="Arial"/>
          <w:iCs/>
          <w:sz w:val="24"/>
          <w:szCs w:val="24"/>
          <w:lang w:val="en-GB"/>
        </w:rPr>
        <w:t>exhibitors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. And the organisers, whose belief and conviction that </w:t>
      </w:r>
      <w:r w:rsidR="00BB5590" w:rsidRPr="00465FD4">
        <w:rPr>
          <w:rFonts w:ascii="Arial" w:hAnsi="Arial" w:cs="Arial"/>
          <w:iCs/>
          <w:sz w:val="24"/>
          <w:szCs w:val="24"/>
          <w:lang w:val="en-GB"/>
        </w:rPr>
        <w:t>in the near future</w:t>
      </w:r>
      <w:r w:rsidR="00BB5590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Brussels will </w:t>
      </w:r>
      <w:r w:rsidR="001F0927">
        <w:rPr>
          <w:rFonts w:ascii="Arial" w:hAnsi="Arial" w:cs="Arial"/>
          <w:iCs/>
          <w:sz w:val="24"/>
          <w:szCs w:val="24"/>
          <w:lang w:val="en-GB"/>
        </w:rPr>
        <w:t xml:space="preserve">also play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an important and meaningful role for the sleep segment</w:t>
      </w:r>
      <w:r w:rsidR="001F0927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BB5590" w:rsidRPr="00465FD4">
        <w:rPr>
          <w:rFonts w:ascii="Arial" w:hAnsi="Arial" w:cs="Arial"/>
          <w:iCs/>
          <w:sz w:val="24"/>
          <w:szCs w:val="24"/>
          <w:lang w:val="en-GB"/>
        </w:rPr>
        <w:t xml:space="preserve">once again </w:t>
      </w:r>
      <w:r w:rsidR="00D307A4">
        <w:rPr>
          <w:rFonts w:ascii="Arial" w:hAnsi="Arial" w:cs="Arial"/>
          <w:iCs/>
          <w:sz w:val="24"/>
          <w:szCs w:val="24"/>
          <w:lang w:val="en-GB"/>
        </w:rPr>
        <w:t>has been reinforced by the strong results.</w:t>
      </w:r>
    </w:p>
    <w:p w14:paraId="429C77E1" w14:textId="07AFBAAC" w:rsidR="00CF5B91" w:rsidRPr="00465FD4" w:rsidRDefault="00CF5B91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B991A58" w14:textId="377198FE" w:rsidR="00CF5B91" w:rsidRPr="00465FD4" w:rsidRDefault="00CB6582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Because as we have often said, the Brussels Furniture Fair would like to become a meeting point for all </w:t>
      </w:r>
      <w:r w:rsidR="00CB5181">
        <w:rPr>
          <w:rFonts w:ascii="Arial" w:hAnsi="Arial" w:cs="Arial"/>
          <w:iCs/>
          <w:sz w:val="24"/>
          <w:szCs w:val="24"/>
          <w:lang w:val="en-GB"/>
        </w:rPr>
        <w:t xml:space="preserve">the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play</w:t>
      </w:r>
      <w:r w:rsidR="00CB5181">
        <w:rPr>
          <w:rFonts w:ascii="Arial" w:hAnsi="Arial" w:cs="Arial"/>
          <w:iCs/>
          <w:sz w:val="24"/>
          <w:szCs w:val="24"/>
          <w:lang w:val="en-GB"/>
        </w:rPr>
        <w:t>er</w:t>
      </w:r>
      <w:r w:rsidRPr="00465FD4">
        <w:rPr>
          <w:rFonts w:ascii="Arial" w:hAnsi="Arial" w:cs="Arial"/>
          <w:iCs/>
          <w:sz w:val="24"/>
          <w:szCs w:val="24"/>
          <w:lang w:val="en-GB"/>
        </w:rPr>
        <w:t>s that have a place in the furniture market. On the floorplan, we noted a</w:t>
      </w:r>
      <w:r w:rsidR="00E5016F">
        <w:rPr>
          <w:rFonts w:ascii="Arial" w:hAnsi="Arial" w:cs="Arial"/>
          <w:iCs/>
          <w:sz w:val="24"/>
          <w:szCs w:val="24"/>
          <w:lang w:val="en-GB"/>
        </w:rPr>
        <w:t xml:space="preserve">n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uptick in exhibitors with a contract marking</w:t>
      </w:r>
      <w:r w:rsidR="00CF5B91" w:rsidRPr="00465FD4">
        <w:rPr>
          <w:rFonts w:ascii="Arial" w:hAnsi="Arial" w:cs="Arial"/>
          <w:iCs/>
          <w:sz w:val="24"/>
          <w:szCs w:val="24"/>
          <w:lang w:val="en-GB"/>
        </w:rPr>
        <w:t xml:space="preserve">,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and there was a also a (slight) rise in the number of visitors for that market</w:t>
      </w:r>
      <w:r w:rsidR="00EB4A19" w:rsidRPr="00465FD4">
        <w:rPr>
          <w:rFonts w:ascii="Arial" w:hAnsi="Arial" w:cs="Arial"/>
          <w:iCs/>
          <w:sz w:val="24"/>
          <w:szCs w:val="24"/>
          <w:lang w:val="en-GB"/>
        </w:rPr>
        <w:t>.</w:t>
      </w:r>
      <w:r w:rsidR="00CF5B91" w:rsidRPr="00465FD4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823BBE" w:rsidRPr="00465FD4">
        <w:rPr>
          <w:rFonts w:ascii="Arial" w:hAnsi="Arial" w:cs="Arial"/>
          <w:iCs/>
          <w:sz w:val="24"/>
          <w:szCs w:val="24"/>
          <w:lang w:val="en-GB"/>
        </w:rPr>
        <w:t xml:space="preserve">Contract is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clearly a segment with a future, which certainly has its place in Brussels.</w:t>
      </w:r>
      <w:r w:rsidR="00BB5590">
        <w:rPr>
          <w:rFonts w:ascii="Arial" w:hAnsi="Arial" w:cs="Arial"/>
          <w:iCs/>
          <w:sz w:val="24"/>
          <w:szCs w:val="24"/>
          <w:lang w:val="en-GB"/>
        </w:rPr>
        <w:t xml:space="preserve"> This will 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be continued! As </w:t>
      </w:r>
      <w:r w:rsidR="00BB5590">
        <w:rPr>
          <w:rFonts w:ascii="Arial" w:hAnsi="Arial" w:cs="Arial"/>
          <w:iCs/>
          <w:sz w:val="24"/>
          <w:szCs w:val="24"/>
          <w:lang w:val="en-GB"/>
        </w:rPr>
        <w:t>will</w:t>
      </w:r>
      <w:r w:rsidR="00823BBE" w:rsidRPr="00465FD4">
        <w:rPr>
          <w:rFonts w:ascii="Arial" w:hAnsi="Arial" w:cs="Arial"/>
          <w:iCs/>
          <w:sz w:val="24"/>
          <w:szCs w:val="24"/>
          <w:lang w:val="en-GB"/>
        </w:rPr>
        <w:t xml:space="preserve"> ‘Bubble Up Your Store’,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the new</w:t>
      </w:r>
      <w:r w:rsidR="00823BBE" w:rsidRPr="00465FD4">
        <w:rPr>
          <w:rFonts w:ascii="Arial" w:hAnsi="Arial" w:cs="Arial"/>
          <w:iCs/>
          <w:sz w:val="24"/>
          <w:szCs w:val="24"/>
          <w:lang w:val="en-GB"/>
        </w:rPr>
        <w:t xml:space="preserve"> platform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for the exhibitors of the furniture store of tomorrow</w:t>
      </w:r>
      <w:r w:rsidR="00ED1D5E" w:rsidRPr="00465FD4">
        <w:rPr>
          <w:rFonts w:ascii="Arial" w:hAnsi="Arial" w:cs="Arial"/>
          <w:iCs/>
          <w:sz w:val="24"/>
          <w:szCs w:val="24"/>
          <w:lang w:val="en-GB"/>
        </w:rPr>
        <w:t xml:space="preserve">. </w:t>
      </w:r>
      <w:r w:rsidRPr="00465FD4">
        <w:rPr>
          <w:rFonts w:ascii="Arial" w:hAnsi="Arial" w:cs="Arial"/>
          <w:iCs/>
          <w:sz w:val="24"/>
          <w:szCs w:val="24"/>
          <w:lang w:val="en-GB"/>
        </w:rPr>
        <w:t>A little further on in Hall 3, the spotlights were again trained on</w:t>
      </w:r>
      <w:r w:rsidR="00921B0D" w:rsidRPr="00465FD4">
        <w:rPr>
          <w:rFonts w:ascii="Arial" w:hAnsi="Arial" w:cs="Arial"/>
          <w:iCs/>
          <w:sz w:val="24"/>
          <w:szCs w:val="24"/>
          <w:lang w:val="en-GB"/>
        </w:rPr>
        <w:t xml:space="preserve"> ‘pure design’. 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In terms of creativity and inspiration, the </w:t>
      </w:r>
      <w:r w:rsidR="001F0927">
        <w:rPr>
          <w:rFonts w:ascii="Arial" w:hAnsi="Arial" w:cs="Arial"/>
          <w:iCs/>
          <w:sz w:val="24"/>
          <w:szCs w:val="24"/>
          <w:lang w:val="en-GB"/>
        </w:rPr>
        <w:t xml:space="preserve">realisations </w:t>
      </w:r>
      <w:r w:rsidR="00BB5590">
        <w:rPr>
          <w:rFonts w:ascii="Arial" w:hAnsi="Arial" w:cs="Arial"/>
          <w:iCs/>
          <w:sz w:val="24"/>
          <w:szCs w:val="24"/>
          <w:lang w:val="en-GB"/>
        </w:rPr>
        <w:t>by</w:t>
      </w:r>
      <w:r w:rsidR="001F0927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the mix of young and established designers certainly stood out. Their story will be appearing </w:t>
      </w:r>
      <w:r w:rsidR="00BB5590">
        <w:rPr>
          <w:rFonts w:ascii="Arial" w:hAnsi="Arial" w:cs="Arial"/>
          <w:iCs/>
          <w:sz w:val="24"/>
          <w:szCs w:val="24"/>
          <w:lang w:val="en-GB"/>
        </w:rPr>
        <w:t>in</w:t>
      </w:r>
      <w:r w:rsidRPr="00465FD4">
        <w:rPr>
          <w:rFonts w:ascii="Arial" w:hAnsi="Arial" w:cs="Arial"/>
          <w:iCs/>
          <w:sz w:val="24"/>
          <w:szCs w:val="24"/>
          <w:lang w:val="en-GB"/>
        </w:rPr>
        <w:t xml:space="preserve"> the Furniture Fair blog </w:t>
      </w:r>
      <w:r w:rsidR="00E5016F">
        <w:rPr>
          <w:rFonts w:ascii="Arial" w:hAnsi="Arial" w:cs="Arial"/>
          <w:iCs/>
          <w:sz w:val="24"/>
          <w:szCs w:val="24"/>
          <w:lang w:val="en-GB"/>
        </w:rPr>
        <w:t>(</w:t>
      </w:r>
      <w:r w:rsidR="00E5016F" w:rsidRPr="00E5016F">
        <w:rPr>
          <w:rFonts w:ascii="Arial" w:hAnsi="Arial" w:cs="Arial"/>
          <w:iCs/>
          <w:sz w:val="24"/>
          <w:szCs w:val="24"/>
          <w:lang w:val="en-GB"/>
        </w:rPr>
        <w:t>blog.furniturefairbrussels.be</w:t>
      </w:r>
      <w:r w:rsidRPr="00465FD4">
        <w:rPr>
          <w:rFonts w:ascii="Arial" w:hAnsi="Arial" w:cs="Arial"/>
          <w:iCs/>
          <w:sz w:val="24"/>
          <w:szCs w:val="24"/>
          <w:lang w:val="en-GB"/>
        </w:rPr>
        <w:t>) from December</w:t>
      </w:r>
      <w:r w:rsidR="00921B0D" w:rsidRPr="00465FD4">
        <w:rPr>
          <w:rFonts w:ascii="Arial" w:hAnsi="Arial" w:cs="Arial"/>
          <w:iCs/>
          <w:sz w:val="24"/>
          <w:szCs w:val="24"/>
          <w:lang w:val="en-GB"/>
        </w:rPr>
        <w:t xml:space="preserve"> 2022.</w:t>
      </w:r>
    </w:p>
    <w:p w14:paraId="698BC0F8" w14:textId="3176DE29" w:rsidR="00921B0D" w:rsidRPr="00465FD4" w:rsidRDefault="00921B0D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6CBB7837" w14:textId="39BA3018" w:rsidR="00ED1D5E" w:rsidRPr="00465FD4" w:rsidRDefault="00CB6582" w:rsidP="001306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en-GB"/>
        </w:rPr>
      </w:pPr>
      <w:r w:rsidRPr="00465FD4">
        <w:rPr>
          <w:rFonts w:ascii="Arial" w:hAnsi="Arial" w:cs="Arial"/>
          <w:iCs/>
          <w:lang w:val="en-GB"/>
        </w:rPr>
        <w:t>On Tuesday evening at the</w:t>
      </w:r>
      <w:r w:rsidR="00ED1D5E" w:rsidRPr="00465FD4">
        <w:rPr>
          <w:rFonts w:ascii="Arial" w:hAnsi="Arial" w:cs="Arial"/>
          <w:iCs/>
          <w:lang w:val="en-GB"/>
        </w:rPr>
        <w:t xml:space="preserve"> Balthazar Awards ceremon</w:t>
      </w:r>
      <w:r w:rsidRPr="00465FD4">
        <w:rPr>
          <w:rFonts w:ascii="Arial" w:hAnsi="Arial" w:cs="Arial"/>
          <w:iCs/>
          <w:lang w:val="en-GB"/>
        </w:rPr>
        <w:t>y, the literal spotlights first fell on</w:t>
      </w:r>
      <w:r w:rsidR="00ED1D5E" w:rsidRPr="00465FD4">
        <w:rPr>
          <w:rFonts w:ascii="Arial" w:hAnsi="Arial" w:cs="Arial"/>
          <w:iCs/>
          <w:lang w:val="en-GB"/>
        </w:rPr>
        <w:t xml:space="preserve"> </w:t>
      </w:r>
      <w:r w:rsidR="00921B0D" w:rsidRPr="00465FD4">
        <w:rPr>
          <w:rFonts w:ascii="Arial" w:hAnsi="Arial" w:cs="Arial"/>
          <w:iCs/>
          <w:lang w:val="en-GB"/>
        </w:rPr>
        <w:t>Boukje Adriaensen</w:t>
      </w:r>
      <w:r w:rsidR="00ED1D5E" w:rsidRPr="00465FD4">
        <w:rPr>
          <w:rFonts w:ascii="Arial" w:hAnsi="Arial" w:cs="Arial"/>
          <w:iCs/>
          <w:lang w:val="en-GB"/>
        </w:rPr>
        <w:t xml:space="preserve">. </w:t>
      </w:r>
      <w:r w:rsidRPr="00465FD4">
        <w:rPr>
          <w:rFonts w:ascii="Arial" w:hAnsi="Arial" w:cs="Arial"/>
          <w:iCs/>
          <w:lang w:val="en-GB"/>
        </w:rPr>
        <w:t>She received a special mention for</w:t>
      </w:r>
      <w:r w:rsidR="006A33D5" w:rsidRPr="00465FD4">
        <w:rPr>
          <w:rFonts w:ascii="Arial" w:hAnsi="Arial" w:cs="Arial"/>
          <w:iCs/>
          <w:lang w:val="en-GB"/>
        </w:rPr>
        <w:t xml:space="preserve"> ‘Best </w:t>
      </w:r>
      <w:r w:rsidR="00ED1D5E" w:rsidRPr="00465FD4">
        <w:rPr>
          <w:rFonts w:ascii="Arial" w:hAnsi="Arial" w:cs="Arial"/>
          <w:iCs/>
          <w:lang w:val="en-GB"/>
        </w:rPr>
        <w:t xml:space="preserve">of </w:t>
      </w:r>
      <w:r w:rsidR="006A33D5" w:rsidRPr="00465FD4">
        <w:rPr>
          <w:rFonts w:ascii="Arial" w:hAnsi="Arial" w:cs="Arial"/>
          <w:iCs/>
          <w:lang w:val="en-GB"/>
        </w:rPr>
        <w:t>Design Street – Design Academy’</w:t>
      </w:r>
      <w:r w:rsidR="00ED1D5E" w:rsidRPr="00465FD4">
        <w:rPr>
          <w:rFonts w:ascii="Arial" w:hAnsi="Arial" w:cs="Arial"/>
          <w:iCs/>
          <w:lang w:val="en-GB"/>
        </w:rPr>
        <w:t>.</w:t>
      </w:r>
    </w:p>
    <w:p w14:paraId="43AD344B" w14:textId="6FF5AC18" w:rsidR="001306A6" w:rsidRPr="00465FD4" w:rsidRDefault="006A33D5" w:rsidP="001306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en-GB"/>
        </w:rPr>
      </w:pPr>
      <w:r w:rsidRPr="00465FD4">
        <w:rPr>
          <w:rFonts w:ascii="Arial" w:hAnsi="Arial" w:cs="Arial"/>
          <w:iCs/>
          <w:lang w:val="en-GB"/>
        </w:rPr>
        <w:t xml:space="preserve">Mobitec (Best of Belgium), Kler (Best international), The Beds (Love at first sight) </w:t>
      </w:r>
      <w:r w:rsidR="00CB6582" w:rsidRPr="00465FD4">
        <w:rPr>
          <w:rFonts w:ascii="Arial" w:hAnsi="Arial" w:cs="Arial"/>
          <w:iCs/>
          <w:lang w:val="en-GB"/>
        </w:rPr>
        <w:t>and</w:t>
      </w:r>
      <w:r w:rsidRPr="00465FD4">
        <w:rPr>
          <w:rFonts w:ascii="Arial" w:hAnsi="Arial" w:cs="Arial"/>
          <w:iCs/>
          <w:lang w:val="en-GB"/>
        </w:rPr>
        <w:t xml:space="preserve"> Sofar (Best innovation) </w:t>
      </w:r>
      <w:r w:rsidR="00CB6582" w:rsidRPr="00465FD4">
        <w:rPr>
          <w:rFonts w:ascii="Arial" w:hAnsi="Arial" w:cs="Arial"/>
          <w:iCs/>
          <w:lang w:val="en-GB"/>
        </w:rPr>
        <w:t>were selected as winners of the</w:t>
      </w:r>
      <w:r w:rsidR="00561491" w:rsidRPr="00465FD4">
        <w:rPr>
          <w:rFonts w:ascii="Arial" w:hAnsi="Arial" w:cs="Arial"/>
          <w:iCs/>
          <w:lang w:val="en-GB"/>
        </w:rPr>
        <w:t xml:space="preserve"> </w:t>
      </w:r>
      <w:r w:rsidRPr="00465FD4">
        <w:rPr>
          <w:rFonts w:ascii="Arial" w:hAnsi="Arial" w:cs="Arial"/>
          <w:iCs/>
          <w:lang w:val="en-GB"/>
        </w:rPr>
        <w:t xml:space="preserve">Balthazars 2022 </w:t>
      </w:r>
      <w:r w:rsidR="00CB6582" w:rsidRPr="00465FD4">
        <w:rPr>
          <w:rFonts w:ascii="Arial" w:hAnsi="Arial" w:cs="Arial"/>
          <w:iCs/>
          <w:lang w:val="en-GB"/>
        </w:rPr>
        <w:t>from an unprecedented number of product entries</w:t>
      </w:r>
      <w:r w:rsidRPr="00465FD4">
        <w:rPr>
          <w:rFonts w:ascii="Arial" w:hAnsi="Arial" w:cs="Arial"/>
          <w:iCs/>
          <w:lang w:val="en-GB"/>
        </w:rPr>
        <w:t xml:space="preserve"> (110)</w:t>
      </w:r>
      <w:r w:rsidR="00561491" w:rsidRPr="00465FD4">
        <w:rPr>
          <w:rFonts w:ascii="Arial" w:hAnsi="Arial" w:cs="Arial"/>
          <w:iCs/>
          <w:lang w:val="en-GB"/>
        </w:rPr>
        <w:t xml:space="preserve">. </w:t>
      </w:r>
      <w:r w:rsidR="001F0927">
        <w:rPr>
          <w:rFonts w:ascii="Arial" w:hAnsi="Arial" w:cs="Arial"/>
          <w:iCs/>
          <w:lang w:val="en-GB"/>
        </w:rPr>
        <w:t>The</w:t>
      </w:r>
      <w:r w:rsidR="001306A6" w:rsidRPr="00465FD4">
        <w:rPr>
          <w:rFonts w:ascii="Arial" w:hAnsi="Arial" w:cs="Arial"/>
          <w:iCs/>
          <w:lang w:val="en-GB"/>
        </w:rPr>
        <w:t xml:space="preserve"> Balthazar Awards 2022 </w:t>
      </w:r>
      <w:r w:rsidR="001F0927">
        <w:rPr>
          <w:rFonts w:ascii="Arial" w:hAnsi="Arial" w:cs="Arial"/>
          <w:iCs/>
          <w:lang w:val="en-GB"/>
        </w:rPr>
        <w:t xml:space="preserve">thus </w:t>
      </w:r>
      <w:r w:rsidR="00CB6582" w:rsidRPr="00465FD4">
        <w:rPr>
          <w:rFonts w:ascii="Arial" w:hAnsi="Arial" w:cs="Arial"/>
          <w:iCs/>
          <w:lang w:val="en-GB"/>
        </w:rPr>
        <w:t>symbolise</w:t>
      </w:r>
      <w:r w:rsidR="00D541DD" w:rsidRPr="00465FD4">
        <w:rPr>
          <w:rFonts w:ascii="Arial" w:hAnsi="Arial" w:cs="Arial"/>
          <w:iCs/>
          <w:lang w:val="en-GB"/>
        </w:rPr>
        <w:t xml:space="preserve">d the drive that characterises our sector. You can find out all about this on our </w:t>
      </w:r>
      <w:r w:rsidR="001306A6" w:rsidRPr="00465FD4">
        <w:rPr>
          <w:rFonts w:ascii="Arial" w:hAnsi="Arial" w:cs="Arial"/>
          <w:iCs/>
          <w:lang w:val="en-GB"/>
        </w:rPr>
        <w:t>blog (</w:t>
      </w:r>
      <w:r w:rsidR="00E5016F" w:rsidRPr="00E5016F">
        <w:rPr>
          <w:rFonts w:ascii="Arial" w:hAnsi="Arial" w:cs="Arial"/>
          <w:iCs/>
          <w:lang w:val="en-GB"/>
        </w:rPr>
        <w:t>blog.furniturefairbrussels.be/2022/11/09/</w:t>
      </w:r>
      <w:proofErr w:type="spellStart"/>
      <w:r w:rsidR="00E5016F" w:rsidRPr="00E5016F">
        <w:rPr>
          <w:rFonts w:ascii="Arial" w:hAnsi="Arial" w:cs="Arial"/>
          <w:iCs/>
          <w:lang w:val="en-GB"/>
        </w:rPr>
        <w:t>meubelbeurs-brussel</w:t>
      </w:r>
      <w:proofErr w:type="spellEnd"/>
      <w:r w:rsidR="001306A6" w:rsidRPr="00465FD4">
        <w:rPr>
          <w:rFonts w:ascii="Arial" w:hAnsi="Arial" w:cs="Arial"/>
          <w:iCs/>
          <w:lang w:val="en-GB"/>
        </w:rPr>
        <w:t>).</w:t>
      </w:r>
    </w:p>
    <w:p w14:paraId="15758932" w14:textId="77777777" w:rsidR="001306A6" w:rsidRPr="00465FD4" w:rsidRDefault="001306A6" w:rsidP="001306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en-GB"/>
        </w:rPr>
      </w:pPr>
    </w:p>
    <w:p w14:paraId="2F25C2E0" w14:textId="196E3C42" w:rsidR="001306A6" w:rsidRPr="00465FD4" w:rsidRDefault="00D541DD" w:rsidP="001306A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Cs/>
          <w:lang w:val="en-GB"/>
        </w:rPr>
      </w:pPr>
      <w:r w:rsidRPr="00465FD4">
        <w:rPr>
          <w:rFonts w:ascii="Arial" w:hAnsi="Arial" w:cs="Arial"/>
          <w:iCs/>
          <w:lang w:val="en-GB"/>
        </w:rPr>
        <w:t>Without this infectious</w:t>
      </w:r>
      <w:r w:rsidR="001306A6" w:rsidRPr="00465FD4">
        <w:rPr>
          <w:rFonts w:ascii="Arial" w:hAnsi="Arial" w:cs="Arial"/>
          <w:iCs/>
          <w:lang w:val="en-GB"/>
        </w:rPr>
        <w:t xml:space="preserve"> drive </w:t>
      </w:r>
      <w:r w:rsidRPr="00465FD4">
        <w:rPr>
          <w:rFonts w:ascii="Arial" w:hAnsi="Arial" w:cs="Arial"/>
          <w:iCs/>
          <w:lang w:val="en-GB"/>
        </w:rPr>
        <w:t xml:space="preserve">and positivity, the Brussels Furniture Fair would never feel so warm, festive and commercially attractive. So we round off with a </w:t>
      </w:r>
      <w:r w:rsidR="001F0927">
        <w:rPr>
          <w:rFonts w:ascii="Arial" w:hAnsi="Arial" w:cs="Arial"/>
          <w:iCs/>
          <w:lang w:val="en-GB"/>
        </w:rPr>
        <w:t>heartfelt</w:t>
      </w:r>
      <w:r w:rsidRPr="00465FD4">
        <w:rPr>
          <w:rFonts w:ascii="Arial" w:hAnsi="Arial" w:cs="Arial"/>
          <w:iCs/>
          <w:lang w:val="en-GB"/>
        </w:rPr>
        <w:t xml:space="preserve"> </w:t>
      </w:r>
      <w:r w:rsidR="00CB5181">
        <w:rPr>
          <w:rFonts w:ascii="Arial" w:hAnsi="Arial" w:cs="Arial"/>
          <w:iCs/>
          <w:lang w:val="en-GB"/>
        </w:rPr>
        <w:t>sense</w:t>
      </w:r>
      <w:r w:rsidRPr="00465FD4">
        <w:rPr>
          <w:rFonts w:ascii="Arial" w:hAnsi="Arial" w:cs="Arial"/>
          <w:iCs/>
          <w:lang w:val="en-GB"/>
        </w:rPr>
        <w:t xml:space="preserve"> of </w:t>
      </w:r>
      <w:r w:rsidR="00CB5181">
        <w:rPr>
          <w:rFonts w:ascii="Arial" w:hAnsi="Arial" w:cs="Arial"/>
          <w:iCs/>
          <w:lang w:val="en-GB"/>
        </w:rPr>
        <w:t>gratitude</w:t>
      </w:r>
      <w:r w:rsidRPr="00465FD4">
        <w:rPr>
          <w:rFonts w:ascii="Arial" w:hAnsi="Arial" w:cs="Arial"/>
          <w:iCs/>
          <w:lang w:val="en-GB"/>
        </w:rPr>
        <w:t xml:space="preserve"> and a huge appetite for more to come.</w:t>
      </w:r>
      <w:r w:rsidR="001306A6" w:rsidRPr="00465FD4">
        <w:rPr>
          <w:rFonts w:ascii="Arial" w:hAnsi="Arial" w:cs="Arial"/>
          <w:iCs/>
          <w:lang w:val="en-GB"/>
        </w:rPr>
        <w:t xml:space="preserve"> </w:t>
      </w:r>
    </w:p>
    <w:p w14:paraId="26A8EFDD" w14:textId="07BBDA74" w:rsidR="004217E8" w:rsidRPr="00465FD4" w:rsidRDefault="004217E8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14DAB62B" w14:textId="77777777" w:rsidR="009939A1" w:rsidRPr="00465FD4" w:rsidRDefault="009939A1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45E944B" w14:textId="77777777" w:rsidR="001306A6" w:rsidRPr="00465FD4" w:rsidRDefault="001306A6" w:rsidP="001306A6">
      <w:pPr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465FD4">
        <w:rPr>
          <w:rFonts w:ascii="Arial" w:hAnsi="Arial" w:cs="Arial"/>
          <w:iCs/>
          <w:sz w:val="24"/>
          <w:szCs w:val="24"/>
          <w:lang w:val="en-GB"/>
        </w:rPr>
        <w:t>Glenn De Maeseneer</w:t>
      </w:r>
    </w:p>
    <w:p w14:paraId="4B6BE49A" w14:textId="77777777" w:rsidR="001306A6" w:rsidRPr="00465FD4" w:rsidRDefault="001306A6" w:rsidP="001306A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65FD4">
        <w:rPr>
          <w:rFonts w:ascii="Arial" w:hAnsi="Arial" w:cs="Arial"/>
          <w:sz w:val="24"/>
          <w:szCs w:val="24"/>
          <w:lang w:val="en-GB"/>
        </w:rPr>
        <w:t>Thomas Hibert</w:t>
      </w:r>
    </w:p>
    <w:p w14:paraId="052DBC3E" w14:textId="3FFA88AB" w:rsidR="001306A6" w:rsidRPr="00465FD4" w:rsidRDefault="00D541DD" w:rsidP="001306A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65FD4">
        <w:rPr>
          <w:rFonts w:ascii="Arial" w:hAnsi="Arial" w:cs="Arial"/>
          <w:sz w:val="24"/>
          <w:szCs w:val="24"/>
          <w:lang w:val="en-GB"/>
        </w:rPr>
        <w:t>Brussels Furniture Fair</w:t>
      </w:r>
    </w:p>
    <w:p w14:paraId="469B5743" w14:textId="77777777" w:rsidR="001306A6" w:rsidRPr="00465FD4" w:rsidRDefault="001306A6" w:rsidP="001306A6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06F7CC8" w14:textId="0AC22B9E" w:rsidR="001306A6" w:rsidRPr="00465FD4" w:rsidRDefault="00D541DD" w:rsidP="001306A6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65FD4">
        <w:rPr>
          <w:rFonts w:ascii="Arial" w:hAnsi="Arial" w:cs="Arial"/>
          <w:b/>
          <w:sz w:val="24"/>
          <w:szCs w:val="24"/>
          <w:lang w:val="en-GB"/>
        </w:rPr>
        <w:t>We look forward to seeing you again next year</w:t>
      </w:r>
      <w:r w:rsidR="001306A6" w:rsidRPr="00465FD4">
        <w:rPr>
          <w:rFonts w:ascii="Arial" w:hAnsi="Arial" w:cs="Arial"/>
          <w:b/>
          <w:sz w:val="24"/>
          <w:szCs w:val="24"/>
          <w:lang w:val="en-GB"/>
        </w:rPr>
        <w:t>!</w:t>
      </w:r>
    </w:p>
    <w:p w14:paraId="6012DD85" w14:textId="7033A672" w:rsidR="001306A6" w:rsidRPr="00465FD4" w:rsidRDefault="00D541DD" w:rsidP="001306A6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65FD4">
        <w:rPr>
          <w:rFonts w:ascii="Arial" w:hAnsi="Arial" w:cs="Arial"/>
          <w:b/>
          <w:sz w:val="24"/>
          <w:szCs w:val="24"/>
          <w:lang w:val="en-GB"/>
        </w:rPr>
        <w:t>Furniture Fair</w:t>
      </w:r>
      <w:r w:rsidR="001306A6" w:rsidRPr="00465FD4">
        <w:rPr>
          <w:rFonts w:ascii="Arial" w:hAnsi="Arial" w:cs="Arial"/>
          <w:b/>
          <w:sz w:val="24"/>
          <w:szCs w:val="24"/>
          <w:lang w:val="en-GB"/>
        </w:rPr>
        <w:t xml:space="preserve"> 2023: 5-8 </w:t>
      </w:r>
      <w:r w:rsidRPr="00465FD4">
        <w:rPr>
          <w:rFonts w:ascii="Arial" w:hAnsi="Arial" w:cs="Arial"/>
          <w:b/>
          <w:sz w:val="24"/>
          <w:szCs w:val="24"/>
          <w:lang w:val="en-GB"/>
        </w:rPr>
        <w:t>N</w:t>
      </w:r>
      <w:r w:rsidR="001306A6" w:rsidRPr="00465FD4">
        <w:rPr>
          <w:rFonts w:ascii="Arial" w:hAnsi="Arial" w:cs="Arial"/>
          <w:b/>
          <w:sz w:val="24"/>
          <w:szCs w:val="24"/>
          <w:lang w:val="en-GB"/>
        </w:rPr>
        <w:t xml:space="preserve">ovember </w:t>
      </w:r>
    </w:p>
    <w:p w14:paraId="4EC9217D" w14:textId="77777777" w:rsidR="001306A6" w:rsidRPr="00465FD4" w:rsidRDefault="001306A6" w:rsidP="001306A6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516A103" w14:textId="3695AEBC" w:rsidR="001306A6" w:rsidRPr="00465FD4" w:rsidRDefault="00E5016F" w:rsidP="001306A6">
      <w:pPr>
        <w:jc w:val="both"/>
        <w:rPr>
          <w:rFonts w:ascii="Arial" w:hAnsi="Arial" w:cs="Arial"/>
          <w:sz w:val="24"/>
          <w:szCs w:val="24"/>
          <w:lang w:val="en-GB"/>
        </w:rPr>
      </w:pPr>
      <w:hyperlink r:id="rId5" w:history="1">
        <w:r w:rsidR="00D541DD" w:rsidRPr="00465FD4">
          <w:rPr>
            <w:rStyle w:val="Hyperlink"/>
            <w:rFonts w:ascii="Arial" w:hAnsi="Arial" w:cs="Arial"/>
            <w:sz w:val="24"/>
            <w:szCs w:val="24"/>
            <w:lang w:val="en-GB"/>
          </w:rPr>
          <w:t>https://www.furniturefairbrussels.be/</w:t>
        </w:r>
      </w:hyperlink>
    </w:p>
    <w:p w14:paraId="202BB972" w14:textId="77777777" w:rsidR="001306A6" w:rsidRPr="00465FD4" w:rsidRDefault="001306A6" w:rsidP="001306A6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8761D96" w14:textId="77777777" w:rsidR="001306A6" w:rsidRPr="00465FD4" w:rsidRDefault="001306A6" w:rsidP="001306A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65FD4">
        <w:rPr>
          <w:rFonts w:ascii="Arial" w:hAnsi="Arial" w:cs="Arial"/>
          <w:sz w:val="24"/>
          <w:szCs w:val="24"/>
          <w:lang w:val="en-GB"/>
        </w:rPr>
        <w:t xml:space="preserve">Facebook: </w:t>
      </w:r>
      <w:hyperlink r:id="rId6" w:history="1">
        <w:r w:rsidRPr="00465FD4">
          <w:rPr>
            <w:rStyle w:val="Hyperlink"/>
            <w:rFonts w:ascii="Arial" w:hAnsi="Arial" w:cs="Arial"/>
            <w:sz w:val="24"/>
            <w:szCs w:val="24"/>
            <w:lang w:val="en-GB"/>
          </w:rPr>
          <w:t>www.facebook.com/Meubelbeurs/</w:t>
        </w:r>
      </w:hyperlink>
      <w:r w:rsidRPr="00465FD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659CECB" w14:textId="77777777" w:rsidR="001306A6" w:rsidRPr="00465FD4" w:rsidRDefault="001306A6" w:rsidP="001306A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65FD4">
        <w:rPr>
          <w:rFonts w:ascii="Arial" w:hAnsi="Arial" w:cs="Arial"/>
          <w:sz w:val="24"/>
          <w:szCs w:val="24"/>
          <w:lang w:val="en-GB"/>
        </w:rPr>
        <w:t xml:space="preserve">Instagram: </w:t>
      </w:r>
      <w:hyperlink r:id="rId7" w:history="1">
        <w:r w:rsidRPr="00465FD4">
          <w:rPr>
            <w:rStyle w:val="Hyperlink"/>
            <w:rFonts w:ascii="Arial" w:hAnsi="Arial" w:cs="Arial"/>
            <w:sz w:val="24"/>
            <w:szCs w:val="24"/>
            <w:lang w:val="en-GB"/>
          </w:rPr>
          <w:t>www.instagram.com/meubelbeursbrussel/</w:t>
        </w:r>
      </w:hyperlink>
      <w:r w:rsidRPr="00465FD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260929C" w14:textId="7DE568D9" w:rsidR="00DD1A25" w:rsidRPr="00465FD4" w:rsidRDefault="00DD1A25" w:rsidP="00E663CA">
      <w:pPr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277C17C4" w14:textId="5EA87F10" w:rsidR="00DD1A25" w:rsidRPr="00465FD4" w:rsidRDefault="00DD1A25" w:rsidP="00E663CA">
      <w:pPr>
        <w:jc w:val="both"/>
        <w:rPr>
          <w:rFonts w:ascii="Arial" w:hAnsi="Arial" w:cs="Arial"/>
          <w:i/>
          <w:sz w:val="24"/>
          <w:szCs w:val="24"/>
          <w:lang w:val="en-GB"/>
        </w:rPr>
      </w:pPr>
    </w:p>
    <w:p w14:paraId="53EC431D" w14:textId="2EEBF82B" w:rsidR="002937EB" w:rsidRPr="00465FD4" w:rsidRDefault="00465FD4" w:rsidP="001306A6">
      <w:pPr>
        <w:jc w:val="both"/>
        <w:rPr>
          <w:rFonts w:ascii="Century Gothic" w:hAnsi="Century Gothic"/>
          <w:lang w:val="en-GB"/>
        </w:rPr>
      </w:pPr>
      <w:r>
        <w:rPr>
          <w:rFonts w:ascii="Arial" w:hAnsi="Arial" w:cs="Arial"/>
          <w:iCs/>
          <w:sz w:val="24"/>
          <w:szCs w:val="24"/>
          <w:lang w:val="en-GB"/>
        </w:rPr>
        <w:t>Visitor numbers</w:t>
      </w:r>
      <w:r w:rsidR="001306A6" w:rsidRPr="00465FD4">
        <w:rPr>
          <w:rFonts w:ascii="Arial" w:hAnsi="Arial" w:cs="Arial"/>
          <w:iCs/>
          <w:sz w:val="24"/>
          <w:szCs w:val="24"/>
          <w:lang w:val="en-GB"/>
        </w:rPr>
        <w:t>:</w:t>
      </w:r>
    </w:p>
    <w:p w14:paraId="29D789FA" w14:textId="77777777" w:rsidR="002937EB" w:rsidRPr="00465FD4" w:rsidRDefault="002937EB" w:rsidP="002937EB">
      <w:pPr>
        <w:rPr>
          <w:rFonts w:ascii="Times New Roman" w:eastAsia="Times New Roman" w:hAnsi="Times New Roman" w:cs="Times New Roman"/>
          <w:szCs w:val="24"/>
          <w:lang w:val="en-GB" w:eastAsia="nl-NL"/>
        </w:rPr>
      </w:pPr>
    </w:p>
    <w:tbl>
      <w:tblPr>
        <w:tblW w:w="7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1060"/>
        <w:gridCol w:w="1120"/>
        <w:gridCol w:w="1120"/>
        <w:gridCol w:w="1120"/>
      </w:tblGrid>
      <w:tr w:rsidR="002937EB" w:rsidRPr="00465FD4" w14:paraId="3FC8582F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4F883" w14:textId="77777777" w:rsidR="002937EB" w:rsidRPr="00465FD4" w:rsidRDefault="002937EB" w:rsidP="00F32FC2">
            <w:pPr>
              <w:rPr>
                <w:rFonts w:ascii="Times New Roman" w:eastAsia="Times New Roman" w:hAnsi="Times New Roman" w:cs="Times New Roman"/>
                <w:szCs w:val="24"/>
                <w:lang w:val="en-GB" w:eastAsia="nl-NL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E9860" w14:textId="77777777" w:rsidR="002937EB" w:rsidRPr="00465FD4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2021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86C18" w14:textId="77777777" w:rsidR="002937EB" w:rsidRPr="00465FD4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2022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7D107" w14:textId="77777777" w:rsidR="002937EB" w:rsidRPr="00465FD4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+/-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ABA21" w14:textId="788FA0B6" w:rsidR="002937EB" w:rsidRPr="00465FD4" w:rsidRDefault="002937EB" w:rsidP="00F32FC2">
            <w:pPr>
              <w:jc w:val="center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 xml:space="preserve">% </w:t>
            </w:r>
            <w:r w:rsid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increase</w:t>
            </w:r>
          </w:p>
        </w:tc>
        <w:tc>
          <w:tcPr>
            <w:tcW w:w="1120" w:type="dxa"/>
            <w:shd w:val="clear" w:color="auto" w:fill="FFFFFF"/>
            <w:vAlign w:val="bottom"/>
          </w:tcPr>
          <w:p w14:paraId="190373DC" w14:textId="393804A1" w:rsidR="002937EB" w:rsidRPr="00465FD4" w:rsidRDefault="002937EB" w:rsidP="00F32F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 xml:space="preserve">% </w:t>
            </w:r>
            <w:r w:rsid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of total</w:t>
            </w:r>
          </w:p>
        </w:tc>
        <w:tc>
          <w:tcPr>
            <w:tcW w:w="1120" w:type="dxa"/>
            <w:shd w:val="clear" w:color="auto" w:fill="FFFFFF"/>
          </w:tcPr>
          <w:p w14:paraId="348079AB" w14:textId="77777777" w:rsidR="002937EB" w:rsidRPr="00465FD4" w:rsidRDefault="002937EB" w:rsidP="00F32F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</w:p>
        </w:tc>
      </w:tr>
      <w:tr w:rsidR="002937EB" w:rsidRPr="00465FD4" w14:paraId="17ED519A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BCC5C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BE/LUX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B8B4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6323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A58C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6474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C1F5B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151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BE331" w14:textId="34D06983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+2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45B78F50" w14:textId="0D880A3E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40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03%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01D8F7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0B4D9BDB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03A92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NL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39A4D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35CB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4063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85255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B8B21" w14:textId="742E0F50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+7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29153B65" w14:textId="3C62C0FD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25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94535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5E40E8BA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0C7F9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FR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463C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4148A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4F721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996B6" w14:textId="0F6C3B1E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+5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5087A945" w14:textId="1795C5C3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11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52%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759E25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3BC0A924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D0800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DE/AT/CH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8DF70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093D8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49C3D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A90AD" w14:textId="054FDD10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+14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7B2CFF61" w14:textId="4330CBF0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5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4E37D5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70294DC8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59DD9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PL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56A8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43E3E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4A6C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E89A9" w14:textId="2F8F806E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+131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05F41E25" w14:textId="7404707C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352DC3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419CBE5E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9D77B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UK/IE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C8FBB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2D120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D8A72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51EBE" w14:textId="177A9836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+244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12192502" w14:textId="10B77E02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D8A3A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6DF3696C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FFA2F" w14:textId="46DD0EB8" w:rsidR="002937EB" w:rsidRPr="00465FD4" w:rsidRDefault="00465FD4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Other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DB556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2A36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33CF9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-32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6E9DC" w14:textId="604AEC1F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-0</w:t>
            </w:r>
            <w:r w:rsid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333333"/>
                <w:lang w:val="en-GB" w:eastAsia="nl-N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55D668C0" w14:textId="76A92D46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19</w:t>
            </w:r>
            <w:r w:rsid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color w:val="000000"/>
                <w:lang w:val="en-GB" w:eastAsia="nl-NL"/>
              </w:rPr>
              <w:t>29%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7D60B3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</w:p>
        </w:tc>
      </w:tr>
      <w:tr w:rsidR="002937EB" w:rsidRPr="00465FD4" w14:paraId="423CA9C1" w14:textId="77777777" w:rsidTr="00F32FC2">
        <w:trPr>
          <w:trHeight w:val="300"/>
        </w:trPr>
        <w:tc>
          <w:tcPr>
            <w:tcW w:w="1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04F7E" w14:textId="77777777" w:rsidR="002937EB" w:rsidRPr="00465FD4" w:rsidRDefault="002937EB" w:rsidP="00F32FC2">
            <w:pPr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666F9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16171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91BE6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17461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01E4B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1290</w:t>
            </w:r>
          </w:p>
        </w:tc>
        <w:tc>
          <w:tcPr>
            <w:tcW w:w="11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717FC" w14:textId="2A651E5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b/>
                <w:bCs/>
                <w:color w:val="333333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333333"/>
                <w:lang w:val="en-GB" w:eastAsia="nl-NL"/>
              </w:rPr>
              <w:t>+8</w:t>
            </w:r>
            <w:r w:rsidR="00CB5181">
              <w:rPr>
                <w:rFonts w:ascii="Calibri" w:eastAsia="Times New Roman" w:hAnsi="Calibri" w:cs="Calibri"/>
                <w:b/>
                <w:bCs/>
                <w:color w:val="333333"/>
                <w:lang w:val="en-GB" w:eastAsia="nl-NL"/>
              </w:rPr>
              <w:t>.</w:t>
            </w:r>
            <w:r w:rsidRPr="00465FD4">
              <w:rPr>
                <w:rFonts w:ascii="Calibri" w:eastAsia="Times New Roman" w:hAnsi="Calibri" w:cs="Calibri"/>
                <w:b/>
                <w:bCs/>
                <w:color w:val="333333"/>
                <w:lang w:val="en-GB" w:eastAsia="nl-NL"/>
              </w:rPr>
              <w:t>0</w:t>
            </w:r>
          </w:p>
        </w:tc>
        <w:tc>
          <w:tcPr>
            <w:tcW w:w="1120" w:type="dxa"/>
            <w:shd w:val="clear" w:color="auto" w:fill="FFFFFF"/>
            <w:vAlign w:val="bottom"/>
          </w:tcPr>
          <w:p w14:paraId="7FAFF862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r w:rsidRPr="00465FD4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100</w:t>
            </w:r>
          </w:p>
        </w:tc>
        <w:tc>
          <w:tcPr>
            <w:tcW w:w="1120" w:type="dxa"/>
            <w:shd w:val="clear" w:color="auto" w:fill="FFFFFF"/>
          </w:tcPr>
          <w:p w14:paraId="1CD8BFA4" w14:textId="77777777" w:rsidR="002937EB" w:rsidRPr="00465FD4" w:rsidRDefault="002937EB" w:rsidP="00F32F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</w:p>
        </w:tc>
      </w:tr>
    </w:tbl>
    <w:p w14:paraId="2C492D47" w14:textId="77777777" w:rsidR="002937EB" w:rsidRPr="00465FD4" w:rsidRDefault="002937EB" w:rsidP="002937EB">
      <w:pPr>
        <w:rPr>
          <w:rFonts w:ascii="Century Gothic" w:hAnsi="Century Gothic"/>
          <w:lang w:val="en-GB"/>
        </w:rPr>
      </w:pPr>
    </w:p>
    <w:sectPr w:rsidR="002937EB" w:rsidRPr="004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E"/>
    <w:rsid w:val="0002489F"/>
    <w:rsid w:val="00045D42"/>
    <w:rsid w:val="00053BB1"/>
    <w:rsid w:val="00104CFE"/>
    <w:rsid w:val="00114445"/>
    <w:rsid w:val="001146C5"/>
    <w:rsid w:val="00122EFE"/>
    <w:rsid w:val="001306A6"/>
    <w:rsid w:val="00157358"/>
    <w:rsid w:val="001768E1"/>
    <w:rsid w:val="001A5EBE"/>
    <w:rsid w:val="001F0927"/>
    <w:rsid w:val="002138B1"/>
    <w:rsid w:val="0022033A"/>
    <w:rsid w:val="002937EB"/>
    <w:rsid w:val="002C1A70"/>
    <w:rsid w:val="002D7729"/>
    <w:rsid w:val="0033703E"/>
    <w:rsid w:val="00353F6D"/>
    <w:rsid w:val="004217E8"/>
    <w:rsid w:val="00441622"/>
    <w:rsid w:val="00465FD4"/>
    <w:rsid w:val="00470A47"/>
    <w:rsid w:val="004977A5"/>
    <w:rsid w:val="004B7AC6"/>
    <w:rsid w:val="004E6BBC"/>
    <w:rsid w:val="004E7576"/>
    <w:rsid w:val="00561491"/>
    <w:rsid w:val="0056678A"/>
    <w:rsid w:val="005E499E"/>
    <w:rsid w:val="005F2D36"/>
    <w:rsid w:val="006513BE"/>
    <w:rsid w:val="00690136"/>
    <w:rsid w:val="006A33D5"/>
    <w:rsid w:val="006B6E32"/>
    <w:rsid w:val="006D6293"/>
    <w:rsid w:val="007518D0"/>
    <w:rsid w:val="007669D4"/>
    <w:rsid w:val="007E507B"/>
    <w:rsid w:val="00823BBE"/>
    <w:rsid w:val="00847536"/>
    <w:rsid w:val="008D70F7"/>
    <w:rsid w:val="00921B0D"/>
    <w:rsid w:val="0092445A"/>
    <w:rsid w:val="009406D0"/>
    <w:rsid w:val="009939A1"/>
    <w:rsid w:val="009C1787"/>
    <w:rsid w:val="009C363A"/>
    <w:rsid w:val="009F318D"/>
    <w:rsid w:val="00A21881"/>
    <w:rsid w:val="00A40DF3"/>
    <w:rsid w:val="00A7230B"/>
    <w:rsid w:val="00A81FF3"/>
    <w:rsid w:val="00A9019B"/>
    <w:rsid w:val="00AD1E68"/>
    <w:rsid w:val="00AD2FD8"/>
    <w:rsid w:val="00B120AB"/>
    <w:rsid w:val="00B16F0C"/>
    <w:rsid w:val="00B464E2"/>
    <w:rsid w:val="00B51363"/>
    <w:rsid w:val="00BB5590"/>
    <w:rsid w:val="00BD08CA"/>
    <w:rsid w:val="00C104C8"/>
    <w:rsid w:val="00C22C34"/>
    <w:rsid w:val="00CB5181"/>
    <w:rsid w:val="00CB6582"/>
    <w:rsid w:val="00CF5B91"/>
    <w:rsid w:val="00D14433"/>
    <w:rsid w:val="00D24994"/>
    <w:rsid w:val="00D307A4"/>
    <w:rsid w:val="00D31642"/>
    <w:rsid w:val="00D43D52"/>
    <w:rsid w:val="00D541DD"/>
    <w:rsid w:val="00D6678F"/>
    <w:rsid w:val="00D7115F"/>
    <w:rsid w:val="00DC4AE1"/>
    <w:rsid w:val="00DD1A25"/>
    <w:rsid w:val="00E10045"/>
    <w:rsid w:val="00E5016F"/>
    <w:rsid w:val="00E663CA"/>
    <w:rsid w:val="00E93CAE"/>
    <w:rsid w:val="00EB4A19"/>
    <w:rsid w:val="00ED1D5E"/>
    <w:rsid w:val="00EE0376"/>
    <w:rsid w:val="00EE3DD4"/>
    <w:rsid w:val="00F435AF"/>
    <w:rsid w:val="00F545FF"/>
    <w:rsid w:val="00F814E8"/>
    <w:rsid w:val="00FB3EA7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421"/>
  <w15:chartTrackingRefBased/>
  <w15:docId w15:val="{D6C07118-07D1-4177-9454-363A05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7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3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D54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4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meubelbeursbruss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eubelbeurs/" TargetMode="External"/><Relationship Id="rId5" Type="http://schemas.openxmlformats.org/officeDocument/2006/relationships/hyperlink" Target="https://www.furniturefairbrussels.be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Van den Heede</dc:creator>
  <cp:keywords/>
  <dc:description/>
  <cp:lastModifiedBy>Thomas Hibert</cp:lastModifiedBy>
  <cp:revision>2</cp:revision>
  <dcterms:created xsi:type="dcterms:W3CDTF">2022-11-17T15:46:00Z</dcterms:created>
  <dcterms:modified xsi:type="dcterms:W3CDTF">2022-11-17T15:46:00Z</dcterms:modified>
</cp:coreProperties>
</file>