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4B98" w14:textId="0CAB8C08" w:rsidR="00536AE5" w:rsidRDefault="00536AE5">
      <w:pPr>
        <w:rPr>
          <w:lang w:val="en-US"/>
        </w:rPr>
      </w:pPr>
      <w:r>
        <w:rPr>
          <w:noProof/>
          <w:lang w:val="en-US"/>
        </w:rPr>
        <w:drawing>
          <wp:inline distT="0" distB="0" distL="0" distR="0" wp14:anchorId="2C27D291" wp14:editId="3810C554">
            <wp:extent cx="5731510" cy="955040"/>
            <wp:effectExtent l="0" t="0" r="254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259F50E1" w14:textId="4135431E" w:rsidR="00536AE5" w:rsidRDefault="00536AE5">
      <w:pPr>
        <w:rPr>
          <w:lang w:val="en-US"/>
        </w:rPr>
      </w:pPr>
    </w:p>
    <w:p w14:paraId="335C9C55" w14:textId="77777777" w:rsidR="00286810" w:rsidRDefault="00286810">
      <w:pPr>
        <w:rPr>
          <w:lang w:val="en-US"/>
        </w:rPr>
      </w:pPr>
    </w:p>
    <w:p w14:paraId="29DB1FA0" w14:textId="2BDD4CBC" w:rsidR="00735310" w:rsidRPr="00C728F0" w:rsidRDefault="00286810">
      <w:pPr>
        <w:rPr>
          <w:lang w:val="en-US"/>
        </w:rPr>
      </w:pPr>
      <w:r w:rsidRPr="00C728F0">
        <w:rPr>
          <w:lang w:val="en-US"/>
        </w:rPr>
        <w:t>Good morning everyone,</w:t>
      </w:r>
    </w:p>
    <w:p w14:paraId="2A284776" w14:textId="664A526E" w:rsidR="00735310" w:rsidRPr="00C728F0" w:rsidRDefault="00735310">
      <w:pPr>
        <w:rPr>
          <w:lang w:val="en-US"/>
        </w:rPr>
      </w:pPr>
    </w:p>
    <w:p w14:paraId="4C493AA0" w14:textId="5023F2C5" w:rsidR="00735310" w:rsidRPr="00286810" w:rsidRDefault="00286810">
      <w:pPr>
        <w:rPr>
          <w:lang w:val="en-US"/>
        </w:rPr>
      </w:pPr>
      <w:r w:rsidRPr="00286810">
        <w:rPr>
          <w:lang w:val="en-US"/>
        </w:rPr>
        <w:t>Thank you for being so numerous and, above all, welcome to our fair!</w:t>
      </w:r>
    </w:p>
    <w:p w14:paraId="331B056F" w14:textId="77777777" w:rsidR="00286810" w:rsidRDefault="00286810">
      <w:pPr>
        <w:rPr>
          <w:lang w:val="en-US"/>
        </w:rPr>
      </w:pPr>
    </w:p>
    <w:p w14:paraId="3CE4004D" w14:textId="1EDA2DC8" w:rsidR="00735310" w:rsidRPr="00286810" w:rsidRDefault="00286810">
      <w:pPr>
        <w:rPr>
          <w:lang w:val="en-US"/>
        </w:rPr>
      </w:pPr>
      <w:r w:rsidRPr="00286810">
        <w:rPr>
          <w:lang w:val="en-US"/>
        </w:rPr>
        <w:t>It is the first time for colleague Thomas Hibert and myself to have the honor of leading this press conference. During the next half hour, we will give you some figures and information on the 2022 fair as well as a hint of our future plans and the direction we want to take. Afterwards, we will of course give you the opportunity to ask questions</w:t>
      </w:r>
      <w:r w:rsidR="00735310" w:rsidRPr="00286810">
        <w:rPr>
          <w:lang w:val="en-US"/>
        </w:rPr>
        <w:t>.</w:t>
      </w:r>
    </w:p>
    <w:p w14:paraId="551EEF96" w14:textId="77777777" w:rsidR="00286810" w:rsidRPr="00C728F0" w:rsidRDefault="00286810">
      <w:pPr>
        <w:rPr>
          <w:lang w:val="en-US"/>
        </w:rPr>
      </w:pPr>
    </w:p>
    <w:p w14:paraId="5599BFE8" w14:textId="38100FF3" w:rsidR="00735310" w:rsidRPr="00286810" w:rsidRDefault="00286810">
      <w:pPr>
        <w:rPr>
          <w:lang w:val="en-US"/>
        </w:rPr>
      </w:pPr>
      <w:r w:rsidRPr="00286810">
        <w:rPr>
          <w:lang w:val="en-US"/>
        </w:rPr>
        <w:t>But we start with a cyclical note on the Belgian Furniture Industry presented to you by</w:t>
      </w:r>
      <w:r w:rsidR="00735310" w:rsidRPr="00286810">
        <w:rPr>
          <w:lang w:val="en-US"/>
        </w:rPr>
        <w:t xml:space="preserve"> Filip De Jaegher, general manager </w:t>
      </w:r>
      <w:r>
        <w:rPr>
          <w:lang w:val="en-US"/>
        </w:rPr>
        <w:t>at</w:t>
      </w:r>
      <w:r w:rsidR="00735310" w:rsidRPr="00286810">
        <w:rPr>
          <w:lang w:val="en-US"/>
        </w:rPr>
        <w:t xml:space="preserve"> Fedustria.</w:t>
      </w:r>
    </w:p>
    <w:p w14:paraId="1AEE8C09" w14:textId="766F0493" w:rsidR="00536AE5" w:rsidRPr="00286810" w:rsidRDefault="00536AE5">
      <w:pPr>
        <w:rPr>
          <w:lang w:val="en-US"/>
        </w:rPr>
      </w:pPr>
      <w:r w:rsidRPr="00286810">
        <w:rPr>
          <w:lang w:val="en-US"/>
        </w:rPr>
        <w:br w:type="page"/>
      </w:r>
    </w:p>
    <w:p w14:paraId="622421ED" w14:textId="77777777" w:rsidR="00286810" w:rsidRPr="00286810" w:rsidRDefault="00286810" w:rsidP="00286810">
      <w:pPr>
        <w:pStyle w:val="Kop7"/>
        <w:pBdr>
          <w:top w:val="single" w:sz="4" w:space="1" w:color="auto"/>
          <w:left w:val="single" w:sz="4" w:space="1" w:color="auto"/>
          <w:bottom w:val="single" w:sz="4" w:space="1" w:color="auto"/>
          <w:right w:val="single" w:sz="4" w:space="1" w:color="auto"/>
        </w:pBdr>
        <w:jc w:val="center"/>
        <w:rPr>
          <w:rFonts w:asciiTheme="minorHAnsi" w:hAnsiTheme="minorHAnsi" w:cstheme="minorHAnsi"/>
          <w:b/>
          <w:i w:val="0"/>
          <w:noProof w:val="0"/>
          <w:color w:val="auto"/>
          <w:sz w:val="36"/>
          <w:szCs w:val="36"/>
          <w:lang w:val="en-US"/>
        </w:rPr>
      </w:pPr>
      <w:r w:rsidRPr="00286810">
        <w:rPr>
          <w:rFonts w:asciiTheme="minorHAnsi" w:hAnsiTheme="minorHAnsi"/>
          <w:b/>
          <w:i w:val="0"/>
          <w:noProof w:val="0"/>
          <w:color w:val="auto"/>
          <w:sz w:val="36"/>
          <w:lang w:val="en-US"/>
        </w:rPr>
        <w:lastRenderedPageBreak/>
        <w:t xml:space="preserve">The Belgian furniture industry in 2022: </w:t>
      </w:r>
    </w:p>
    <w:p w14:paraId="1F366667" w14:textId="77777777" w:rsidR="00286810" w:rsidRPr="00286810" w:rsidRDefault="00286810" w:rsidP="00286810">
      <w:pPr>
        <w:pBdr>
          <w:top w:val="single" w:sz="4" w:space="1" w:color="auto"/>
          <w:left w:val="single" w:sz="4" w:space="1" w:color="auto"/>
          <w:bottom w:val="single" w:sz="4" w:space="1" w:color="auto"/>
          <w:right w:val="single" w:sz="4" w:space="1" w:color="auto"/>
        </w:pBdr>
        <w:jc w:val="center"/>
        <w:rPr>
          <w:lang w:val="en-US"/>
        </w:rPr>
      </w:pPr>
      <w:r w:rsidRPr="00286810">
        <w:rPr>
          <w:b/>
          <w:bCs/>
          <w:sz w:val="36"/>
          <w:szCs w:val="36"/>
          <w:lang w:val="en-US"/>
        </w:rPr>
        <w:t xml:space="preserve">Rising costs are putting pressure on competitiveness </w:t>
      </w:r>
      <w:r w:rsidRPr="00286810">
        <w:rPr>
          <w:b/>
          <w:bCs/>
          <w:sz w:val="36"/>
          <w:szCs w:val="36"/>
          <w:lang w:val="en-US"/>
        </w:rPr>
        <w:br/>
        <w:t>and margins</w:t>
      </w:r>
    </w:p>
    <w:p w14:paraId="05034714" w14:textId="77777777" w:rsidR="00286810" w:rsidRPr="00286810" w:rsidRDefault="00286810" w:rsidP="00286810">
      <w:pPr>
        <w:pBdr>
          <w:top w:val="single" w:sz="4" w:space="1" w:color="auto"/>
          <w:left w:val="single" w:sz="4" w:space="1" w:color="auto"/>
          <w:bottom w:val="single" w:sz="4" w:space="1" w:color="auto"/>
          <w:right w:val="single" w:sz="4" w:space="1" w:color="auto"/>
        </w:pBdr>
        <w:rPr>
          <w:rFonts w:cstheme="minorHAnsi"/>
          <w:lang w:val="en-US"/>
        </w:rPr>
      </w:pPr>
    </w:p>
    <w:p w14:paraId="69CA6C95" w14:textId="77777777" w:rsidR="00286810" w:rsidRPr="00286810" w:rsidRDefault="00286810" w:rsidP="00286810">
      <w:pPr>
        <w:rPr>
          <w:rFonts w:cstheme="minorHAnsi"/>
          <w:lang w:val="en-US"/>
        </w:rPr>
      </w:pPr>
    </w:p>
    <w:p w14:paraId="15B47150" w14:textId="77777777" w:rsidR="00286810" w:rsidRPr="00286810" w:rsidRDefault="00286810" w:rsidP="00286810">
      <w:pPr>
        <w:rPr>
          <w:rFonts w:cstheme="minorHAnsi"/>
          <w:b/>
          <w:u w:val="single"/>
          <w:lang w:val="en-US"/>
        </w:rPr>
      </w:pPr>
      <w:r w:rsidRPr="00286810">
        <w:rPr>
          <w:b/>
          <w:u w:val="single"/>
          <w:lang w:val="en-US"/>
        </w:rPr>
        <w:t>The Belgian furniture industry</w:t>
      </w:r>
    </w:p>
    <w:p w14:paraId="466BD417" w14:textId="77777777" w:rsidR="00286810" w:rsidRPr="00286810" w:rsidRDefault="00286810" w:rsidP="00286810">
      <w:pPr>
        <w:rPr>
          <w:rFonts w:cstheme="minorHAnsi"/>
          <w:lang w:val="en-US"/>
        </w:rPr>
      </w:pPr>
    </w:p>
    <w:p w14:paraId="31B461E1" w14:textId="77777777" w:rsidR="00286810" w:rsidRPr="00286810" w:rsidRDefault="00286810" w:rsidP="00286810">
      <w:pPr>
        <w:pBdr>
          <w:top w:val="single" w:sz="4" w:space="1" w:color="auto"/>
          <w:left w:val="single" w:sz="4" w:space="4" w:color="auto"/>
          <w:bottom w:val="single" w:sz="4" w:space="1" w:color="auto"/>
          <w:right w:val="single" w:sz="4" w:space="4" w:color="auto"/>
        </w:pBdr>
        <w:rPr>
          <w:rFonts w:cstheme="minorHAnsi"/>
          <w:sz w:val="10"/>
          <w:szCs w:val="10"/>
          <w:lang w:val="en-US"/>
        </w:rPr>
      </w:pPr>
    </w:p>
    <w:p w14:paraId="701BC150" w14:textId="77777777" w:rsidR="00286810" w:rsidRPr="00286810" w:rsidRDefault="00286810" w:rsidP="00286810">
      <w:pPr>
        <w:pBdr>
          <w:top w:val="single" w:sz="4" w:space="1" w:color="auto"/>
          <w:left w:val="single" w:sz="4" w:space="4" w:color="auto"/>
          <w:bottom w:val="single" w:sz="4" w:space="1" w:color="auto"/>
          <w:right w:val="single" w:sz="4" w:space="4" w:color="auto"/>
        </w:pBdr>
        <w:rPr>
          <w:rFonts w:cstheme="minorHAnsi"/>
          <w:b/>
          <w:lang w:val="en-US"/>
        </w:rPr>
      </w:pPr>
      <w:r w:rsidRPr="00286810">
        <w:rPr>
          <w:b/>
          <w:lang w:val="en-US"/>
        </w:rPr>
        <w:t>Key figures (2021)</w:t>
      </w:r>
    </w:p>
    <w:p w14:paraId="73D40C53" w14:textId="77777777" w:rsidR="00286810" w:rsidRPr="00286810" w:rsidRDefault="00286810" w:rsidP="00286810">
      <w:pPr>
        <w:pBdr>
          <w:top w:val="single" w:sz="4" w:space="1" w:color="auto"/>
          <w:left w:val="single" w:sz="4" w:space="4" w:color="auto"/>
          <w:bottom w:val="single" w:sz="4" w:space="1" w:color="auto"/>
          <w:right w:val="single" w:sz="4" w:space="4" w:color="auto"/>
        </w:pBdr>
        <w:rPr>
          <w:rFonts w:cstheme="minorHAnsi"/>
          <w:b/>
          <w:sz w:val="14"/>
          <w:lang w:val="en-US"/>
        </w:rPr>
      </w:pPr>
    </w:p>
    <w:p w14:paraId="28E9CC82" w14:textId="77777777" w:rsidR="00286810" w:rsidRPr="00066710" w:rsidRDefault="00286810" w:rsidP="00286810">
      <w:pPr>
        <w:pStyle w:val="Lijstalinea"/>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noProof w:val="0"/>
          <w:sz w:val="22"/>
          <w:szCs w:val="22"/>
        </w:rPr>
      </w:pPr>
      <w:r w:rsidRPr="00066710">
        <w:rPr>
          <w:rFonts w:asciiTheme="minorHAnsi" w:hAnsiTheme="minorHAnsi"/>
          <w:b/>
          <w:noProof w:val="0"/>
          <w:sz w:val="22"/>
        </w:rPr>
        <w:t>719 companies</w:t>
      </w:r>
    </w:p>
    <w:p w14:paraId="2C57508C" w14:textId="77777777" w:rsidR="00286810" w:rsidRPr="00066710" w:rsidRDefault="00286810" w:rsidP="00286810">
      <w:pPr>
        <w:pStyle w:val="Lijstalinea"/>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noProof w:val="0"/>
          <w:sz w:val="22"/>
          <w:szCs w:val="22"/>
        </w:rPr>
      </w:pPr>
      <w:r w:rsidRPr="00066710">
        <w:rPr>
          <w:rFonts w:asciiTheme="minorHAnsi" w:hAnsiTheme="minorHAnsi"/>
          <w:b/>
          <w:noProof w:val="0"/>
          <w:sz w:val="22"/>
        </w:rPr>
        <w:t>9,824 employees</w:t>
      </w:r>
    </w:p>
    <w:p w14:paraId="2CB9E2FA" w14:textId="77777777" w:rsidR="00286810" w:rsidRPr="00066710" w:rsidRDefault="00286810" w:rsidP="00286810">
      <w:pPr>
        <w:pStyle w:val="Lijstalinea"/>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noProof w:val="0"/>
          <w:sz w:val="22"/>
          <w:szCs w:val="22"/>
        </w:rPr>
      </w:pPr>
      <w:r w:rsidRPr="00066710">
        <w:rPr>
          <w:rFonts w:asciiTheme="minorHAnsi" w:hAnsiTheme="minorHAnsi"/>
          <w:b/>
          <w:noProof w:val="0"/>
          <w:sz w:val="22"/>
        </w:rPr>
        <w:t>Turnover: €2.27 billion</w:t>
      </w:r>
    </w:p>
    <w:p w14:paraId="72455BAC" w14:textId="77777777" w:rsidR="00286810" w:rsidRPr="00066710" w:rsidRDefault="00286810" w:rsidP="00286810">
      <w:pPr>
        <w:pStyle w:val="Lijstalinea"/>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noProof w:val="0"/>
          <w:sz w:val="22"/>
          <w:szCs w:val="22"/>
        </w:rPr>
      </w:pPr>
      <w:r w:rsidRPr="00066710">
        <w:rPr>
          <w:rFonts w:asciiTheme="minorHAnsi" w:hAnsiTheme="minorHAnsi"/>
          <w:b/>
          <w:noProof w:val="0"/>
          <w:sz w:val="22"/>
        </w:rPr>
        <w:t>Export share: 57%</w:t>
      </w:r>
    </w:p>
    <w:p w14:paraId="69DAC0EE" w14:textId="77777777" w:rsidR="00286810" w:rsidRPr="00286810" w:rsidRDefault="00286810" w:rsidP="00286810">
      <w:pPr>
        <w:pStyle w:val="Lijstalinea"/>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noProof w:val="0"/>
          <w:sz w:val="22"/>
          <w:szCs w:val="22"/>
          <w:lang w:val="en-US"/>
        </w:rPr>
      </w:pPr>
      <w:r w:rsidRPr="00286810">
        <w:rPr>
          <w:rFonts w:asciiTheme="minorHAnsi" w:hAnsiTheme="minorHAnsi"/>
          <w:b/>
          <w:noProof w:val="0"/>
          <w:sz w:val="22"/>
          <w:lang w:val="en-US"/>
        </w:rPr>
        <w:t>Share in total turnover of Belgian wood and furniture industry: 36%</w:t>
      </w:r>
    </w:p>
    <w:p w14:paraId="08285696" w14:textId="77777777" w:rsidR="00286810" w:rsidRPr="00286810" w:rsidRDefault="00286810" w:rsidP="00286810">
      <w:pPr>
        <w:pBdr>
          <w:top w:val="single" w:sz="4" w:space="1" w:color="auto"/>
          <w:left w:val="single" w:sz="4" w:space="4" w:color="auto"/>
          <w:bottom w:val="single" w:sz="4" w:space="1" w:color="auto"/>
          <w:right w:val="single" w:sz="4" w:space="4" w:color="auto"/>
        </w:pBdr>
        <w:rPr>
          <w:rFonts w:cstheme="minorHAnsi"/>
          <w:sz w:val="10"/>
          <w:szCs w:val="10"/>
          <w:lang w:val="en-US"/>
        </w:rPr>
      </w:pPr>
    </w:p>
    <w:p w14:paraId="0E8E7018" w14:textId="77777777" w:rsidR="00286810" w:rsidRPr="00286810" w:rsidRDefault="00286810" w:rsidP="00286810">
      <w:pPr>
        <w:tabs>
          <w:tab w:val="left" w:pos="-828"/>
          <w:tab w:val="left" w:pos="4253"/>
        </w:tabs>
        <w:suppressAutoHyphens/>
        <w:jc w:val="both"/>
        <w:rPr>
          <w:rFonts w:cstheme="minorHAnsi"/>
          <w:spacing w:val="-3"/>
          <w:lang w:val="en-US"/>
        </w:rPr>
      </w:pPr>
    </w:p>
    <w:p w14:paraId="096EF3A8" w14:textId="77777777" w:rsidR="00286810" w:rsidRPr="00286810" w:rsidRDefault="00286810" w:rsidP="00286810">
      <w:pPr>
        <w:tabs>
          <w:tab w:val="left" w:pos="-828"/>
          <w:tab w:val="left" w:pos="4253"/>
        </w:tabs>
        <w:suppressAutoHyphens/>
        <w:jc w:val="both"/>
        <w:rPr>
          <w:rFonts w:cstheme="minorHAnsi"/>
          <w:b/>
          <w:spacing w:val="-3"/>
          <w:u w:val="single"/>
          <w:lang w:val="en-US"/>
        </w:rPr>
      </w:pPr>
      <w:r w:rsidRPr="00286810">
        <w:rPr>
          <w:b/>
          <w:spacing w:val="-3"/>
          <w:u w:val="single"/>
          <w:lang w:val="en-US"/>
        </w:rPr>
        <w:t>Summary of developments in the first half of 2022</w:t>
      </w:r>
    </w:p>
    <w:p w14:paraId="00862A95" w14:textId="77777777" w:rsidR="00286810" w:rsidRPr="00286810" w:rsidRDefault="00286810" w:rsidP="00286810">
      <w:pPr>
        <w:tabs>
          <w:tab w:val="left" w:pos="-828"/>
          <w:tab w:val="left" w:pos="4253"/>
        </w:tabs>
        <w:suppressAutoHyphens/>
        <w:jc w:val="both"/>
        <w:rPr>
          <w:rFonts w:cstheme="minorHAnsi"/>
          <w:spacing w:val="-3"/>
          <w:lang w:val="en-US"/>
        </w:rPr>
      </w:pPr>
    </w:p>
    <w:p w14:paraId="361C5299" w14:textId="77777777" w:rsidR="00286810" w:rsidRPr="00286810" w:rsidRDefault="00286810" w:rsidP="00286810">
      <w:pPr>
        <w:pStyle w:val="Lijstalinea"/>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noProof w:val="0"/>
          <w:spacing w:val="-3"/>
          <w:sz w:val="22"/>
          <w:szCs w:val="22"/>
          <w:lang w:val="en-US"/>
        </w:rPr>
      </w:pPr>
      <w:r w:rsidRPr="00286810">
        <w:rPr>
          <w:rFonts w:asciiTheme="minorHAnsi" w:hAnsiTheme="minorHAnsi"/>
          <w:noProof w:val="0"/>
          <w:spacing w:val="-3"/>
          <w:sz w:val="22"/>
          <w:lang w:val="en-US"/>
        </w:rPr>
        <w:t xml:space="preserve">Turnover: €1,190/5 billion, -2.9% compared with the first half of 2021. Real decrease in volume by 11% due to 15.7% increase in output prices </w:t>
      </w:r>
    </w:p>
    <w:p w14:paraId="77998176" w14:textId="77777777" w:rsidR="00286810" w:rsidRPr="00066710" w:rsidRDefault="00286810" w:rsidP="00286810">
      <w:pPr>
        <w:pStyle w:val="Lijstalinea"/>
        <w:numPr>
          <w:ilvl w:val="0"/>
          <w:numId w:val="16"/>
        </w:numPr>
        <w:tabs>
          <w:tab w:val="left" w:pos="-828"/>
          <w:tab w:val="left" w:pos="4253"/>
        </w:tabs>
        <w:suppressAutoHyphens/>
        <w:overflowPunct/>
        <w:autoSpaceDE/>
        <w:autoSpaceDN/>
        <w:adjustRightInd/>
        <w:ind w:left="284" w:hanging="284"/>
        <w:jc w:val="both"/>
        <w:textAlignment w:val="auto"/>
        <w:rPr>
          <w:rFonts w:asciiTheme="minorHAnsi" w:hAnsiTheme="minorHAnsi" w:cstheme="minorHAnsi"/>
          <w:noProof w:val="0"/>
          <w:spacing w:val="-3"/>
          <w:sz w:val="22"/>
          <w:szCs w:val="22"/>
        </w:rPr>
      </w:pPr>
      <w:r w:rsidRPr="00066710">
        <w:rPr>
          <w:rFonts w:asciiTheme="minorHAnsi" w:hAnsiTheme="minorHAnsi"/>
          <w:noProof w:val="0"/>
          <w:spacing w:val="-3"/>
          <w:sz w:val="22"/>
        </w:rPr>
        <w:t>Investments: €37.5 billion (-1.3%)</w:t>
      </w:r>
    </w:p>
    <w:p w14:paraId="570874EA" w14:textId="77777777" w:rsidR="00286810" w:rsidRPr="00066710" w:rsidRDefault="00286810" w:rsidP="00286810">
      <w:pPr>
        <w:pStyle w:val="Lijstalinea"/>
        <w:numPr>
          <w:ilvl w:val="0"/>
          <w:numId w:val="16"/>
        </w:numPr>
        <w:tabs>
          <w:tab w:val="left" w:pos="-828"/>
          <w:tab w:val="left" w:pos="4253"/>
        </w:tabs>
        <w:suppressAutoHyphens/>
        <w:overflowPunct/>
        <w:autoSpaceDE/>
        <w:autoSpaceDN/>
        <w:adjustRightInd/>
        <w:ind w:left="284" w:hanging="284"/>
        <w:jc w:val="both"/>
        <w:textAlignment w:val="auto"/>
        <w:rPr>
          <w:rFonts w:asciiTheme="minorHAnsi" w:hAnsiTheme="minorHAnsi" w:cstheme="minorHAnsi"/>
          <w:noProof w:val="0"/>
          <w:spacing w:val="-3"/>
          <w:sz w:val="22"/>
          <w:szCs w:val="22"/>
        </w:rPr>
      </w:pPr>
      <w:r w:rsidRPr="00066710">
        <w:rPr>
          <w:rFonts w:asciiTheme="minorHAnsi" w:hAnsiTheme="minorHAnsi"/>
          <w:noProof w:val="0"/>
          <w:spacing w:val="-3"/>
          <w:sz w:val="22"/>
        </w:rPr>
        <w:t xml:space="preserve">Production capacity utilisation rate: 86.2% </w:t>
      </w:r>
    </w:p>
    <w:p w14:paraId="7A7A2852" w14:textId="77777777" w:rsidR="00286810" w:rsidRPr="00286810" w:rsidRDefault="00286810" w:rsidP="00286810">
      <w:pPr>
        <w:pStyle w:val="Lijstalinea"/>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noProof w:val="0"/>
          <w:lang w:val="en-US"/>
        </w:rPr>
      </w:pPr>
      <w:r w:rsidRPr="00286810">
        <w:rPr>
          <w:rFonts w:asciiTheme="minorHAnsi" w:hAnsiTheme="minorHAnsi"/>
          <w:noProof w:val="0"/>
          <w:spacing w:val="-3"/>
          <w:sz w:val="22"/>
          <w:lang w:val="en-US"/>
        </w:rPr>
        <w:t>Exports +1.0% compared with the same period in 2021. France, Germany and the Netherlands remain the major markets</w:t>
      </w:r>
    </w:p>
    <w:p w14:paraId="3B69C089" w14:textId="77777777" w:rsidR="00286810" w:rsidRPr="00286810" w:rsidRDefault="00286810" w:rsidP="00286810">
      <w:pPr>
        <w:pStyle w:val="Lijstalinea"/>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noProof w:val="0"/>
          <w:lang w:val="en-US"/>
        </w:rPr>
      </w:pPr>
      <w:r w:rsidRPr="00286810">
        <w:rPr>
          <w:rFonts w:asciiTheme="minorHAnsi" w:hAnsiTheme="minorHAnsi"/>
          <w:noProof w:val="0"/>
          <w:spacing w:val="-3"/>
          <w:sz w:val="22"/>
          <w:lang w:val="en-US"/>
        </w:rPr>
        <w:t>Imports +5.2% compared with the same period in 2021</w:t>
      </w:r>
    </w:p>
    <w:p w14:paraId="630C0D3A" w14:textId="77777777" w:rsidR="00286810" w:rsidRPr="00286810" w:rsidRDefault="00286810" w:rsidP="00286810">
      <w:pPr>
        <w:jc w:val="both"/>
        <w:rPr>
          <w:rFonts w:cstheme="minorHAnsi"/>
          <w:b/>
          <w:bCs/>
          <w:u w:val="single"/>
          <w:lang w:val="en-US"/>
        </w:rPr>
      </w:pPr>
    </w:p>
    <w:p w14:paraId="60645285" w14:textId="77777777" w:rsidR="00286810" w:rsidRPr="00286810" w:rsidRDefault="00286810" w:rsidP="00286810">
      <w:pPr>
        <w:jc w:val="both"/>
        <w:rPr>
          <w:rFonts w:cstheme="minorHAnsi"/>
          <w:b/>
          <w:bCs/>
          <w:u w:val="single"/>
          <w:lang w:val="en-US"/>
        </w:rPr>
      </w:pPr>
      <w:r w:rsidRPr="00286810">
        <w:rPr>
          <w:b/>
          <w:u w:val="single"/>
          <w:lang w:val="en-US"/>
        </w:rPr>
        <w:t>General context</w:t>
      </w:r>
    </w:p>
    <w:p w14:paraId="03BE9A1A" w14:textId="77777777" w:rsidR="00286810" w:rsidRPr="00286810" w:rsidRDefault="00286810" w:rsidP="00286810">
      <w:pPr>
        <w:jc w:val="both"/>
        <w:rPr>
          <w:rFonts w:cstheme="minorHAnsi"/>
          <w:bCs/>
          <w:lang w:val="en-US"/>
        </w:rPr>
      </w:pPr>
    </w:p>
    <w:p w14:paraId="422A8C7F" w14:textId="77777777" w:rsidR="00286810" w:rsidRPr="00286810" w:rsidRDefault="00286810" w:rsidP="00286810">
      <w:pPr>
        <w:jc w:val="both"/>
        <w:rPr>
          <w:lang w:val="en-US"/>
        </w:rPr>
      </w:pPr>
      <w:r w:rsidRPr="00286810">
        <w:rPr>
          <w:lang w:val="en-US"/>
        </w:rPr>
        <w:t>After a good year in 2021 with a sales increase of just under 10%, the Belgian furniture industry started 2022 with cautious confidence. Manufacturers were anticipating that there could be a slight downturn after strong demand due to investment in interior/exterior and home renovation during the corona crisis but were soon caught up by the sharp surge in inflation, the energy crisis and Russia's invasion of Ukraine in late February.</w:t>
      </w:r>
    </w:p>
    <w:p w14:paraId="755CAEB0" w14:textId="77777777" w:rsidR="00286810" w:rsidRPr="00286810" w:rsidRDefault="00286810" w:rsidP="00286810">
      <w:pPr>
        <w:jc w:val="both"/>
        <w:rPr>
          <w:rFonts w:cstheme="minorHAnsi"/>
          <w:bCs/>
          <w:lang w:val="en-US"/>
        </w:rPr>
      </w:pPr>
    </w:p>
    <w:p w14:paraId="7FA68BDF" w14:textId="77777777" w:rsidR="00286810" w:rsidRPr="00286810" w:rsidRDefault="00286810" w:rsidP="00286810">
      <w:pPr>
        <w:jc w:val="both"/>
        <w:rPr>
          <w:lang w:val="en-US"/>
        </w:rPr>
      </w:pPr>
      <w:r w:rsidRPr="00286810">
        <w:rPr>
          <w:lang w:val="en-US"/>
        </w:rPr>
        <w:t xml:space="preserve">These developments led to unprecedented price increases for just about all raw materials and commodities – it was this that really caused a free-fall in consumer confidence and curbed the consumption of sustainable investment goods. Accordingly, the demand for furniture has fallen </w:t>
      </w:r>
      <w:r w:rsidRPr="00286810">
        <w:rPr>
          <w:lang w:val="en-US"/>
        </w:rPr>
        <w:lastRenderedPageBreak/>
        <w:t>sharply since the second quarter of this year, all the more so because consumers were once again able to spend their family budgets post-corona on leisure (including hospitality, travel, etc.) or, in view of the approaching winter period, often also need the money more and more to pay the sharply rising energy bills.</w:t>
      </w:r>
    </w:p>
    <w:p w14:paraId="5FA253E3" w14:textId="77777777" w:rsidR="00172119" w:rsidRDefault="00172119" w:rsidP="00286810">
      <w:pPr>
        <w:jc w:val="both"/>
        <w:rPr>
          <w:lang w:val="en-US"/>
        </w:rPr>
      </w:pPr>
    </w:p>
    <w:p w14:paraId="021F122E" w14:textId="191F44E2" w:rsidR="00286810" w:rsidRPr="00286810" w:rsidRDefault="00286810" w:rsidP="00286810">
      <w:pPr>
        <w:jc w:val="both"/>
        <w:rPr>
          <w:lang w:val="en-US"/>
        </w:rPr>
      </w:pPr>
      <w:r w:rsidRPr="00286810">
        <w:rPr>
          <w:lang w:val="en-US"/>
        </w:rPr>
        <w:t xml:space="preserve">The furniture industry, and by extension the entire manufacturing industry, finds itself in the eye of a of a perfect storm: rising costs for energy, raw materials and personnel (due to successive automatic wage indexations) in the face of falling demand are putting very strong pressure on margins and competitiveness and are creating a great deal of uncertainty about what 2023 will bring. </w:t>
      </w:r>
    </w:p>
    <w:p w14:paraId="7D0926D4" w14:textId="77777777" w:rsidR="00286810" w:rsidRPr="00286810" w:rsidRDefault="00286810" w:rsidP="00286810">
      <w:pPr>
        <w:rPr>
          <w:rFonts w:cstheme="minorHAnsi"/>
          <w:bCs/>
          <w:lang w:val="en-US"/>
        </w:rPr>
      </w:pPr>
    </w:p>
    <w:p w14:paraId="63239517" w14:textId="77777777" w:rsidR="00286810" w:rsidRPr="00286810" w:rsidRDefault="00286810" w:rsidP="00286810">
      <w:pPr>
        <w:pStyle w:val="Plattetekst"/>
        <w:rPr>
          <w:rFonts w:asciiTheme="minorHAnsi" w:hAnsiTheme="minorHAnsi" w:cstheme="minorBidi"/>
          <w:b/>
          <w:bCs/>
          <w:noProof w:val="0"/>
          <w:u w:val="single"/>
          <w:lang w:val="en-US"/>
        </w:rPr>
      </w:pPr>
      <w:r w:rsidRPr="00286810">
        <w:rPr>
          <w:rFonts w:asciiTheme="minorHAnsi" w:hAnsiTheme="minorHAnsi"/>
          <w:b/>
          <w:noProof w:val="0"/>
          <w:u w:val="single"/>
          <w:lang w:val="en-US"/>
        </w:rPr>
        <w:t>First half of 2022: Sales up in value, but down in volume</w:t>
      </w:r>
    </w:p>
    <w:p w14:paraId="671B90DC" w14:textId="77777777" w:rsidR="00286810" w:rsidRPr="00286810" w:rsidRDefault="00286810" w:rsidP="00286810">
      <w:pPr>
        <w:pStyle w:val="Plattetekst"/>
        <w:rPr>
          <w:rFonts w:asciiTheme="minorHAnsi" w:hAnsiTheme="minorHAnsi" w:cstheme="minorHAnsi"/>
          <w:noProof w:val="0"/>
          <w:szCs w:val="22"/>
          <w:lang w:val="en-US"/>
        </w:rPr>
      </w:pPr>
    </w:p>
    <w:tbl>
      <w:tblPr>
        <w:tblW w:w="10453" w:type="dxa"/>
        <w:tblInd w:w="-572" w:type="dxa"/>
        <w:tblLayout w:type="fixed"/>
        <w:tblCellMar>
          <w:left w:w="70" w:type="dxa"/>
          <w:right w:w="70" w:type="dxa"/>
        </w:tblCellMar>
        <w:tblLook w:val="04A0" w:firstRow="1" w:lastRow="0" w:firstColumn="1" w:lastColumn="0" w:noHBand="0" w:noVBand="1"/>
      </w:tblPr>
      <w:tblGrid>
        <w:gridCol w:w="2835"/>
        <w:gridCol w:w="952"/>
        <w:gridCol w:w="952"/>
        <w:gridCol w:w="952"/>
        <w:gridCol w:w="953"/>
        <w:gridCol w:w="952"/>
        <w:gridCol w:w="952"/>
        <w:gridCol w:w="952"/>
        <w:gridCol w:w="953"/>
      </w:tblGrid>
      <w:tr w:rsidR="00286810" w:rsidRPr="00066710" w14:paraId="18F8062A" w14:textId="77777777" w:rsidTr="004877F2">
        <w:trPr>
          <w:trHeight w:val="420"/>
        </w:trPr>
        <w:tc>
          <w:tcPr>
            <w:tcW w:w="8548"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tcPr>
          <w:p w14:paraId="27912B47" w14:textId="77777777" w:rsidR="00286810" w:rsidRPr="00286810" w:rsidRDefault="00286810" w:rsidP="004877F2">
            <w:pPr>
              <w:jc w:val="center"/>
              <w:rPr>
                <w:rFonts w:cstheme="minorHAnsi"/>
                <w:b/>
                <w:bCs/>
                <w:color w:val="000000"/>
                <w:lang w:val="en-US"/>
              </w:rPr>
            </w:pPr>
            <w:r w:rsidRPr="00286810">
              <w:rPr>
                <w:b/>
                <w:color w:val="000000"/>
                <w:lang w:val="en-US"/>
              </w:rPr>
              <w:t>Turnover development in the Belgian furniture Industry</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07361717" w14:textId="77777777" w:rsidR="00286810" w:rsidRPr="00066710" w:rsidRDefault="00286810" w:rsidP="004877F2">
            <w:pPr>
              <w:jc w:val="center"/>
              <w:rPr>
                <w:rFonts w:cstheme="minorHAnsi"/>
                <w:b/>
                <w:bCs/>
                <w:color w:val="000000"/>
              </w:rPr>
            </w:pPr>
            <w:r w:rsidRPr="00066710">
              <w:rPr>
                <w:b/>
                <w:color w:val="000000"/>
              </w:rPr>
              <w:t>Sales prices</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41208E18" w14:textId="77777777" w:rsidR="00286810" w:rsidRPr="00066710" w:rsidRDefault="00286810" w:rsidP="004877F2">
            <w:pPr>
              <w:jc w:val="center"/>
              <w:rPr>
                <w:rFonts w:cstheme="minorHAnsi"/>
                <w:b/>
                <w:bCs/>
                <w:color w:val="000000"/>
              </w:rPr>
            </w:pPr>
            <w:r w:rsidRPr="00066710">
              <w:rPr>
                <w:b/>
                <w:color w:val="000000"/>
              </w:rPr>
              <w:t>Turnover in volume</w:t>
            </w:r>
          </w:p>
        </w:tc>
      </w:tr>
      <w:tr w:rsidR="00286810" w:rsidRPr="00066710" w14:paraId="00861A5B" w14:textId="77777777" w:rsidTr="004877F2">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E112BC2" w14:textId="77777777" w:rsidR="00286810" w:rsidRPr="00066710" w:rsidRDefault="00286810" w:rsidP="004877F2">
            <w:pPr>
              <w:jc w:val="center"/>
              <w:rPr>
                <w:rFonts w:cstheme="minorHAnsi"/>
                <w:b/>
                <w:bCs/>
                <w:color w:val="000000"/>
              </w:rPr>
            </w:pPr>
            <w:r w:rsidRPr="00066710">
              <w:rPr>
                <w:b/>
                <w:color w:val="000000"/>
              </w:rPr>
              <w:t>In millions of euros</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3C89BA6" w14:textId="77777777" w:rsidR="00286810" w:rsidRPr="00066710" w:rsidRDefault="00286810" w:rsidP="004877F2">
            <w:pPr>
              <w:jc w:val="center"/>
              <w:rPr>
                <w:rFonts w:cstheme="minorHAnsi"/>
                <w:b/>
                <w:bCs/>
                <w:color w:val="000000"/>
              </w:rPr>
            </w:pPr>
            <w:r w:rsidRPr="00066710">
              <w:rPr>
                <w:b/>
                <w:color w:val="000000"/>
              </w:rPr>
              <w:t>2020</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20817FA" w14:textId="77777777" w:rsidR="00286810" w:rsidRPr="00066710" w:rsidRDefault="00286810" w:rsidP="004877F2">
            <w:pPr>
              <w:jc w:val="center"/>
              <w:rPr>
                <w:rFonts w:cstheme="minorHAnsi"/>
                <w:b/>
                <w:bCs/>
                <w:color w:val="000000"/>
              </w:rPr>
            </w:pPr>
            <w:r w:rsidRPr="00066710">
              <w:rPr>
                <w:b/>
                <w:color w:val="000000"/>
              </w:rPr>
              <w:t>2021</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3B8CC895" w14:textId="77777777" w:rsidR="00286810" w:rsidRPr="00066710" w:rsidRDefault="00286810" w:rsidP="004877F2">
            <w:pPr>
              <w:jc w:val="center"/>
              <w:rPr>
                <w:rFonts w:cstheme="minorHAnsi"/>
                <w:b/>
                <w:bCs/>
                <w:color w:val="000000"/>
              </w:rPr>
            </w:pPr>
            <w:r w:rsidRPr="00066710">
              <w:rPr>
                <w:b/>
                <w:color w:val="000000"/>
              </w:rPr>
              <w:t>'21/'20</w:t>
            </w:r>
          </w:p>
        </w:tc>
        <w:tc>
          <w:tcPr>
            <w:tcW w:w="953" w:type="dxa"/>
            <w:tcBorders>
              <w:top w:val="single" w:sz="4" w:space="0" w:color="auto"/>
              <w:left w:val="nil"/>
              <w:bottom w:val="single" w:sz="4" w:space="0" w:color="auto"/>
              <w:right w:val="single" w:sz="4" w:space="0" w:color="auto"/>
            </w:tcBorders>
            <w:shd w:val="clear" w:color="auto" w:fill="FFC000"/>
            <w:noWrap/>
            <w:vAlign w:val="center"/>
            <w:hideMark/>
          </w:tcPr>
          <w:p w14:paraId="22F7D239" w14:textId="77777777" w:rsidR="00286810" w:rsidRPr="00066710" w:rsidRDefault="00286810" w:rsidP="004877F2">
            <w:pPr>
              <w:jc w:val="center"/>
              <w:rPr>
                <w:rFonts w:cstheme="minorHAnsi"/>
                <w:b/>
                <w:bCs/>
                <w:color w:val="000000"/>
              </w:rPr>
            </w:pPr>
            <w:r w:rsidRPr="00066710">
              <w:rPr>
                <w:b/>
                <w:color w:val="000000"/>
              </w:rPr>
              <w:t xml:space="preserve">6m 2021 </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1848A33C" w14:textId="77777777" w:rsidR="00286810" w:rsidRPr="00066710" w:rsidRDefault="00286810" w:rsidP="004877F2">
            <w:pPr>
              <w:jc w:val="center"/>
              <w:rPr>
                <w:rFonts w:cstheme="minorHAnsi"/>
                <w:b/>
                <w:bCs/>
                <w:color w:val="000000"/>
              </w:rPr>
            </w:pPr>
            <w:r w:rsidRPr="00066710">
              <w:rPr>
                <w:b/>
                <w:color w:val="000000"/>
              </w:rPr>
              <w:t xml:space="preserve">6 m 2022 </w:t>
            </w:r>
            <w:r w:rsidRPr="00066710">
              <w:rPr>
                <w:b/>
                <w:bCs/>
                <w:color w:val="000000"/>
                <w:vertAlign w:val="superscript"/>
              </w:rPr>
              <w:t>3</w:t>
            </w:r>
          </w:p>
        </w:tc>
        <w:tc>
          <w:tcPr>
            <w:tcW w:w="952" w:type="dxa"/>
            <w:tcBorders>
              <w:top w:val="single" w:sz="4" w:space="0" w:color="auto"/>
              <w:left w:val="nil"/>
              <w:bottom w:val="single" w:sz="4" w:space="0" w:color="auto"/>
              <w:right w:val="nil"/>
            </w:tcBorders>
            <w:shd w:val="clear" w:color="auto" w:fill="FFC000"/>
            <w:noWrap/>
            <w:vAlign w:val="center"/>
            <w:hideMark/>
          </w:tcPr>
          <w:p w14:paraId="35AAF60F" w14:textId="77777777" w:rsidR="00286810" w:rsidRPr="00066710" w:rsidRDefault="00286810" w:rsidP="004877F2">
            <w:pPr>
              <w:jc w:val="center"/>
              <w:rPr>
                <w:rFonts w:cstheme="minorHAnsi"/>
                <w:b/>
                <w:bCs/>
                <w:color w:val="000000"/>
              </w:rPr>
            </w:pPr>
            <w:r w:rsidRPr="00066710">
              <w:rPr>
                <w:b/>
                <w:color w:val="000000"/>
              </w:rPr>
              <w:t>6 m '22/'21</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7AAE7F4D" w14:textId="77777777" w:rsidR="00286810" w:rsidRPr="00066710" w:rsidRDefault="00286810" w:rsidP="004877F2">
            <w:pPr>
              <w:jc w:val="center"/>
              <w:rPr>
                <w:rFonts w:cstheme="minorHAnsi"/>
                <w:b/>
                <w:bCs/>
                <w:color w:val="000000"/>
              </w:rPr>
            </w:pPr>
            <w:r w:rsidRPr="00066710">
              <w:rPr>
                <w:b/>
                <w:color w:val="000000"/>
              </w:rPr>
              <w:t xml:space="preserve"> 6 m '22/'21</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1356B5B8" w14:textId="77777777" w:rsidR="00286810" w:rsidRPr="00066710" w:rsidRDefault="00286810" w:rsidP="004877F2">
            <w:pPr>
              <w:jc w:val="center"/>
              <w:rPr>
                <w:rFonts w:cstheme="minorHAnsi"/>
                <w:b/>
                <w:bCs/>
                <w:color w:val="000000"/>
              </w:rPr>
            </w:pPr>
            <w:r w:rsidRPr="00066710">
              <w:rPr>
                <w:b/>
                <w:color w:val="000000"/>
              </w:rPr>
              <w:t xml:space="preserve"> 6 m '22/'21</w:t>
            </w:r>
          </w:p>
        </w:tc>
      </w:tr>
      <w:tr w:rsidR="00286810" w:rsidRPr="00066710" w14:paraId="66C7350A" w14:textId="77777777" w:rsidTr="004877F2">
        <w:trPr>
          <w:trHeight w:val="7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3ADC59D" w14:textId="77777777" w:rsidR="00286810" w:rsidRPr="00286810" w:rsidRDefault="00286810" w:rsidP="004877F2">
            <w:pPr>
              <w:rPr>
                <w:rFonts w:cstheme="minorHAnsi"/>
                <w:color w:val="000000"/>
                <w:lang w:val="en-US"/>
              </w:rPr>
            </w:pPr>
            <w:r w:rsidRPr="00286810">
              <w:rPr>
                <w:color w:val="000000"/>
                <w:lang w:val="en-US"/>
              </w:rPr>
              <w:t>Chairs and seating, dining room, sitting room, bedroom, bathroom, garden and patio furniture</w:t>
            </w:r>
          </w:p>
        </w:tc>
        <w:tc>
          <w:tcPr>
            <w:tcW w:w="952" w:type="dxa"/>
            <w:tcBorders>
              <w:top w:val="nil"/>
              <w:left w:val="nil"/>
              <w:bottom w:val="single" w:sz="4" w:space="0" w:color="auto"/>
              <w:right w:val="nil"/>
            </w:tcBorders>
            <w:shd w:val="clear" w:color="auto" w:fill="auto"/>
            <w:noWrap/>
            <w:vAlign w:val="center"/>
            <w:hideMark/>
          </w:tcPr>
          <w:p w14:paraId="2C82E67D" w14:textId="77777777" w:rsidR="00286810" w:rsidRPr="00066710" w:rsidRDefault="00286810" w:rsidP="004877F2">
            <w:pPr>
              <w:jc w:val="right"/>
              <w:rPr>
                <w:rFonts w:cstheme="minorHAnsi"/>
                <w:color w:val="000000"/>
              </w:rPr>
            </w:pPr>
            <w:r w:rsidRPr="00066710">
              <w:rPr>
                <w:color w:val="000000"/>
              </w:rPr>
              <w:t>812.9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4D10F35" w14:textId="77777777" w:rsidR="00286810" w:rsidRPr="00066710" w:rsidRDefault="00286810" w:rsidP="004877F2">
            <w:pPr>
              <w:jc w:val="right"/>
              <w:rPr>
                <w:rFonts w:cstheme="minorHAnsi"/>
                <w:color w:val="000000"/>
              </w:rPr>
            </w:pPr>
            <w:r w:rsidRPr="00066710">
              <w:rPr>
                <w:color w:val="000000"/>
              </w:rPr>
              <w:t>933.8</w:t>
            </w:r>
          </w:p>
        </w:tc>
        <w:tc>
          <w:tcPr>
            <w:tcW w:w="952" w:type="dxa"/>
            <w:tcBorders>
              <w:top w:val="nil"/>
              <w:left w:val="nil"/>
              <w:bottom w:val="single" w:sz="4" w:space="0" w:color="auto"/>
              <w:right w:val="single" w:sz="4" w:space="0" w:color="auto"/>
            </w:tcBorders>
            <w:shd w:val="clear" w:color="auto" w:fill="auto"/>
            <w:noWrap/>
            <w:vAlign w:val="center"/>
            <w:hideMark/>
          </w:tcPr>
          <w:p w14:paraId="53413284" w14:textId="77777777" w:rsidR="00286810" w:rsidRPr="00066710" w:rsidRDefault="00286810" w:rsidP="004877F2">
            <w:pPr>
              <w:jc w:val="right"/>
              <w:rPr>
                <w:rFonts w:cstheme="minorHAnsi"/>
                <w:b/>
                <w:bCs/>
                <w:color w:val="000000"/>
              </w:rPr>
            </w:pPr>
            <w:r w:rsidRPr="00066710">
              <w:rPr>
                <w:b/>
                <w:color w:val="000000"/>
              </w:rPr>
              <w:t>14.9%</w:t>
            </w:r>
          </w:p>
        </w:tc>
        <w:tc>
          <w:tcPr>
            <w:tcW w:w="953" w:type="dxa"/>
            <w:tcBorders>
              <w:top w:val="nil"/>
              <w:left w:val="nil"/>
              <w:bottom w:val="single" w:sz="4" w:space="0" w:color="auto"/>
              <w:right w:val="single" w:sz="4" w:space="0" w:color="auto"/>
            </w:tcBorders>
            <w:shd w:val="clear" w:color="auto" w:fill="auto"/>
            <w:noWrap/>
            <w:vAlign w:val="center"/>
            <w:hideMark/>
          </w:tcPr>
          <w:p w14:paraId="073BD460" w14:textId="77777777" w:rsidR="00286810" w:rsidRPr="00066710" w:rsidRDefault="00286810" w:rsidP="004877F2">
            <w:pPr>
              <w:jc w:val="right"/>
              <w:rPr>
                <w:rFonts w:cstheme="minorHAnsi"/>
                <w:color w:val="000000"/>
              </w:rPr>
            </w:pPr>
            <w:r w:rsidRPr="00066710">
              <w:rPr>
                <w:color w:val="000000"/>
              </w:rPr>
              <w:t>483.4</w:t>
            </w:r>
          </w:p>
        </w:tc>
        <w:tc>
          <w:tcPr>
            <w:tcW w:w="952" w:type="dxa"/>
            <w:tcBorders>
              <w:top w:val="nil"/>
              <w:left w:val="nil"/>
              <w:bottom w:val="single" w:sz="4" w:space="0" w:color="auto"/>
              <w:right w:val="single" w:sz="4" w:space="0" w:color="auto"/>
            </w:tcBorders>
            <w:shd w:val="clear" w:color="000000" w:fill="FFFFFF"/>
            <w:noWrap/>
            <w:vAlign w:val="center"/>
            <w:hideMark/>
          </w:tcPr>
          <w:p w14:paraId="1D4F1D93" w14:textId="77777777" w:rsidR="00286810" w:rsidRPr="00066710" w:rsidRDefault="00286810" w:rsidP="004877F2">
            <w:pPr>
              <w:jc w:val="right"/>
              <w:rPr>
                <w:rFonts w:cstheme="minorHAnsi"/>
                <w:color w:val="000000"/>
              </w:rPr>
            </w:pPr>
            <w:r w:rsidRPr="00066710">
              <w:rPr>
                <w:color w:val="000000"/>
              </w:rPr>
              <w:t>492.7</w:t>
            </w:r>
          </w:p>
        </w:tc>
        <w:tc>
          <w:tcPr>
            <w:tcW w:w="952" w:type="dxa"/>
            <w:tcBorders>
              <w:top w:val="nil"/>
              <w:left w:val="nil"/>
              <w:bottom w:val="single" w:sz="4" w:space="0" w:color="auto"/>
              <w:right w:val="nil"/>
            </w:tcBorders>
            <w:shd w:val="clear" w:color="auto" w:fill="auto"/>
            <w:noWrap/>
            <w:vAlign w:val="center"/>
            <w:hideMark/>
          </w:tcPr>
          <w:p w14:paraId="7F2E5ACD" w14:textId="77777777" w:rsidR="00286810" w:rsidRPr="00066710" w:rsidRDefault="00286810" w:rsidP="004877F2">
            <w:pPr>
              <w:jc w:val="right"/>
              <w:rPr>
                <w:rFonts w:cstheme="minorHAnsi"/>
                <w:color w:val="000000"/>
              </w:rPr>
            </w:pPr>
            <w:r w:rsidRPr="00066710">
              <w:rPr>
                <w:color w:val="000000"/>
              </w:rPr>
              <w:t>1.9%</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305E78D6" w14:textId="77777777" w:rsidR="00286810" w:rsidRPr="00066710" w:rsidRDefault="00286810" w:rsidP="004877F2">
            <w:pPr>
              <w:jc w:val="right"/>
              <w:rPr>
                <w:rFonts w:cstheme="minorHAnsi"/>
                <w:color w:val="000000"/>
              </w:rPr>
            </w:pPr>
            <w:r w:rsidRPr="00066710">
              <w:rPr>
                <w:color w:val="000000"/>
              </w:rPr>
              <w:t>+15.8%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34E8814" w14:textId="77777777" w:rsidR="00286810" w:rsidRPr="00066710" w:rsidRDefault="00286810" w:rsidP="004877F2">
            <w:pPr>
              <w:jc w:val="right"/>
              <w:rPr>
                <w:rFonts w:cstheme="minorHAnsi"/>
                <w:b/>
                <w:bCs/>
              </w:rPr>
            </w:pPr>
            <w:r w:rsidRPr="00066710">
              <w:rPr>
                <w:b/>
              </w:rPr>
              <w:t>-14%</w:t>
            </w:r>
          </w:p>
        </w:tc>
      </w:tr>
      <w:tr w:rsidR="00286810" w:rsidRPr="00066710" w14:paraId="1215658C" w14:textId="77777777" w:rsidTr="004877F2">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34AAF4E" w14:textId="77777777" w:rsidR="00286810" w:rsidRPr="00066710" w:rsidRDefault="00286810" w:rsidP="004877F2">
            <w:pPr>
              <w:rPr>
                <w:rFonts w:cstheme="minorHAnsi"/>
                <w:color w:val="000000"/>
              </w:rPr>
            </w:pPr>
            <w:r w:rsidRPr="00066710">
              <w:rPr>
                <w:color w:val="000000"/>
              </w:rPr>
              <w:t>Office and shop furniture</w:t>
            </w:r>
          </w:p>
        </w:tc>
        <w:tc>
          <w:tcPr>
            <w:tcW w:w="952" w:type="dxa"/>
            <w:tcBorders>
              <w:top w:val="nil"/>
              <w:left w:val="nil"/>
              <w:bottom w:val="single" w:sz="4" w:space="0" w:color="auto"/>
              <w:right w:val="nil"/>
            </w:tcBorders>
            <w:shd w:val="clear" w:color="auto" w:fill="auto"/>
            <w:noWrap/>
            <w:vAlign w:val="center"/>
            <w:hideMark/>
          </w:tcPr>
          <w:p w14:paraId="633401AD" w14:textId="77777777" w:rsidR="00286810" w:rsidRPr="00066710" w:rsidRDefault="00286810" w:rsidP="004877F2">
            <w:pPr>
              <w:jc w:val="right"/>
              <w:rPr>
                <w:rFonts w:cstheme="minorHAnsi"/>
                <w:color w:val="000000"/>
              </w:rPr>
            </w:pPr>
            <w:r w:rsidRPr="00066710">
              <w:rPr>
                <w:color w:val="000000"/>
              </w:rPr>
              <w:t>430.8</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D31287C" w14:textId="77777777" w:rsidR="00286810" w:rsidRPr="00066710" w:rsidRDefault="00286810" w:rsidP="004877F2">
            <w:pPr>
              <w:jc w:val="right"/>
              <w:rPr>
                <w:rFonts w:cstheme="minorHAnsi"/>
                <w:color w:val="000000"/>
              </w:rPr>
            </w:pPr>
            <w:r w:rsidRPr="00066710">
              <w:rPr>
                <w:color w:val="000000"/>
              </w:rPr>
              <w:t>489.6</w:t>
            </w:r>
          </w:p>
        </w:tc>
        <w:tc>
          <w:tcPr>
            <w:tcW w:w="952" w:type="dxa"/>
            <w:tcBorders>
              <w:top w:val="nil"/>
              <w:left w:val="nil"/>
              <w:bottom w:val="single" w:sz="4" w:space="0" w:color="auto"/>
              <w:right w:val="single" w:sz="4" w:space="0" w:color="auto"/>
            </w:tcBorders>
            <w:shd w:val="clear" w:color="auto" w:fill="auto"/>
            <w:noWrap/>
            <w:vAlign w:val="center"/>
            <w:hideMark/>
          </w:tcPr>
          <w:p w14:paraId="41EAF756" w14:textId="77777777" w:rsidR="00286810" w:rsidRPr="00066710" w:rsidRDefault="00286810" w:rsidP="004877F2">
            <w:pPr>
              <w:jc w:val="right"/>
              <w:rPr>
                <w:rFonts w:cstheme="minorHAnsi"/>
                <w:b/>
                <w:bCs/>
                <w:color w:val="000000"/>
              </w:rPr>
            </w:pPr>
            <w:r w:rsidRPr="00066710">
              <w:rPr>
                <w:b/>
                <w:color w:val="000000"/>
              </w:rPr>
              <w:t>13.6%</w:t>
            </w:r>
          </w:p>
        </w:tc>
        <w:tc>
          <w:tcPr>
            <w:tcW w:w="953" w:type="dxa"/>
            <w:tcBorders>
              <w:top w:val="nil"/>
              <w:left w:val="nil"/>
              <w:bottom w:val="single" w:sz="4" w:space="0" w:color="auto"/>
              <w:right w:val="single" w:sz="4" w:space="0" w:color="auto"/>
            </w:tcBorders>
            <w:shd w:val="clear" w:color="auto" w:fill="auto"/>
            <w:noWrap/>
            <w:vAlign w:val="center"/>
            <w:hideMark/>
          </w:tcPr>
          <w:p w14:paraId="6E1F735C" w14:textId="77777777" w:rsidR="00286810" w:rsidRPr="00066710" w:rsidRDefault="00286810" w:rsidP="004877F2">
            <w:pPr>
              <w:jc w:val="right"/>
              <w:rPr>
                <w:rFonts w:cstheme="minorHAnsi"/>
                <w:color w:val="000000"/>
              </w:rPr>
            </w:pPr>
            <w:r w:rsidRPr="00066710">
              <w:rPr>
                <w:color w:val="000000"/>
              </w:rPr>
              <w:t>226.9</w:t>
            </w:r>
          </w:p>
        </w:tc>
        <w:tc>
          <w:tcPr>
            <w:tcW w:w="952" w:type="dxa"/>
            <w:tcBorders>
              <w:top w:val="nil"/>
              <w:left w:val="nil"/>
              <w:bottom w:val="single" w:sz="4" w:space="0" w:color="auto"/>
              <w:right w:val="single" w:sz="4" w:space="0" w:color="auto"/>
            </w:tcBorders>
            <w:shd w:val="clear" w:color="000000" w:fill="FFFFFF"/>
            <w:noWrap/>
            <w:vAlign w:val="center"/>
            <w:hideMark/>
          </w:tcPr>
          <w:p w14:paraId="47997773" w14:textId="77777777" w:rsidR="00286810" w:rsidRPr="00066710" w:rsidRDefault="00286810" w:rsidP="004877F2">
            <w:pPr>
              <w:jc w:val="right"/>
              <w:rPr>
                <w:rFonts w:cstheme="minorHAnsi"/>
                <w:color w:val="000000"/>
              </w:rPr>
            </w:pPr>
            <w:r w:rsidRPr="00066710">
              <w:rPr>
                <w:color w:val="000000"/>
              </w:rPr>
              <w:t>289.6</w:t>
            </w:r>
          </w:p>
        </w:tc>
        <w:tc>
          <w:tcPr>
            <w:tcW w:w="952" w:type="dxa"/>
            <w:tcBorders>
              <w:top w:val="nil"/>
              <w:left w:val="nil"/>
              <w:bottom w:val="single" w:sz="4" w:space="0" w:color="auto"/>
              <w:right w:val="nil"/>
            </w:tcBorders>
            <w:shd w:val="clear" w:color="auto" w:fill="auto"/>
            <w:noWrap/>
            <w:vAlign w:val="center"/>
            <w:hideMark/>
          </w:tcPr>
          <w:p w14:paraId="65884753" w14:textId="77777777" w:rsidR="00286810" w:rsidRPr="00066710" w:rsidRDefault="00286810" w:rsidP="004877F2">
            <w:pPr>
              <w:jc w:val="right"/>
              <w:rPr>
                <w:rFonts w:cstheme="minorHAnsi"/>
                <w:color w:val="000000"/>
              </w:rPr>
            </w:pPr>
            <w:r w:rsidRPr="00066710">
              <w:rPr>
                <w:color w:val="000000"/>
              </w:rPr>
              <w:t>27.6%</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38251F1C" w14:textId="77777777" w:rsidR="00286810" w:rsidRPr="00066710" w:rsidRDefault="00286810" w:rsidP="004877F2">
            <w:pPr>
              <w:jc w:val="right"/>
              <w:rPr>
                <w:rFonts w:cstheme="minorHAnsi"/>
                <w:color w:val="000000"/>
              </w:rPr>
            </w:pPr>
            <w:r w:rsidRPr="00066710">
              <w:rPr>
                <w:color w:val="000000"/>
              </w:rPr>
              <w:t>+28.6%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327347E" w14:textId="77777777" w:rsidR="00286810" w:rsidRPr="00066710" w:rsidRDefault="00286810" w:rsidP="004877F2">
            <w:pPr>
              <w:jc w:val="right"/>
              <w:rPr>
                <w:rFonts w:cstheme="minorHAnsi"/>
                <w:b/>
                <w:bCs/>
              </w:rPr>
            </w:pPr>
            <w:r w:rsidRPr="00066710">
              <w:rPr>
                <w:b/>
              </w:rPr>
              <w:t>-1%</w:t>
            </w:r>
          </w:p>
        </w:tc>
      </w:tr>
      <w:tr w:rsidR="00286810" w:rsidRPr="00066710" w14:paraId="5930E967" w14:textId="77777777" w:rsidTr="004877F2">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9E55FF0" w14:textId="77777777" w:rsidR="00286810" w:rsidRPr="00066710" w:rsidRDefault="00286810" w:rsidP="004877F2">
            <w:pPr>
              <w:rPr>
                <w:rFonts w:cstheme="minorHAnsi"/>
                <w:color w:val="000000"/>
              </w:rPr>
            </w:pPr>
            <w:r w:rsidRPr="00066710">
              <w:rPr>
                <w:color w:val="000000"/>
              </w:rPr>
              <w:t>Kitchen furniture</w:t>
            </w:r>
          </w:p>
        </w:tc>
        <w:tc>
          <w:tcPr>
            <w:tcW w:w="952" w:type="dxa"/>
            <w:tcBorders>
              <w:top w:val="nil"/>
              <w:left w:val="nil"/>
              <w:bottom w:val="single" w:sz="4" w:space="0" w:color="auto"/>
              <w:right w:val="nil"/>
            </w:tcBorders>
            <w:shd w:val="clear" w:color="auto" w:fill="auto"/>
            <w:noWrap/>
            <w:vAlign w:val="center"/>
            <w:hideMark/>
          </w:tcPr>
          <w:p w14:paraId="4F9E4DE2" w14:textId="77777777" w:rsidR="00286810" w:rsidRPr="00066710" w:rsidRDefault="00286810" w:rsidP="004877F2">
            <w:pPr>
              <w:jc w:val="right"/>
              <w:rPr>
                <w:rFonts w:cstheme="minorHAnsi"/>
                <w:color w:val="000000"/>
              </w:rPr>
            </w:pPr>
            <w:r w:rsidRPr="00066710">
              <w:rPr>
                <w:color w:val="000000"/>
              </w:rPr>
              <w:t>429.4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71EACD3" w14:textId="77777777" w:rsidR="00286810" w:rsidRPr="00066710" w:rsidRDefault="00286810" w:rsidP="004877F2">
            <w:pPr>
              <w:jc w:val="right"/>
              <w:rPr>
                <w:rFonts w:cstheme="minorHAnsi"/>
                <w:color w:val="000000"/>
              </w:rPr>
            </w:pPr>
            <w:r w:rsidRPr="00066710">
              <w:rPr>
                <w:color w:val="000000"/>
              </w:rPr>
              <w:t>482.9</w:t>
            </w:r>
          </w:p>
        </w:tc>
        <w:tc>
          <w:tcPr>
            <w:tcW w:w="952" w:type="dxa"/>
            <w:tcBorders>
              <w:top w:val="nil"/>
              <w:left w:val="nil"/>
              <w:bottom w:val="single" w:sz="4" w:space="0" w:color="auto"/>
              <w:right w:val="single" w:sz="4" w:space="0" w:color="auto"/>
            </w:tcBorders>
            <w:shd w:val="clear" w:color="auto" w:fill="auto"/>
            <w:noWrap/>
            <w:vAlign w:val="center"/>
            <w:hideMark/>
          </w:tcPr>
          <w:p w14:paraId="3ED8C656" w14:textId="77777777" w:rsidR="00286810" w:rsidRPr="00066710" w:rsidRDefault="00286810" w:rsidP="004877F2">
            <w:pPr>
              <w:jc w:val="right"/>
              <w:rPr>
                <w:rFonts w:cstheme="minorHAnsi"/>
                <w:b/>
                <w:bCs/>
                <w:color w:val="000000"/>
              </w:rPr>
            </w:pPr>
            <w:r w:rsidRPr="00066710">
              <w:rPr>
                <w:b/>
                <w:color w:val="000000"/>
              </w:rPr>
              <w:t>12.5%</w:t>
            </w:r>
          </w:p>
        </w:tc>
        <w:tc>
          <w:tcPr>
            <w:tcW w:w="953" w:type="dxa"/>
            <w:tcBorders>
              <w:top w:val="nil"/>
              <w:left w:val="nil"/>
              <w:bottom w:val="single" w:sz="4" w:space="0" w:color="auto"/>
              <w:right w:val="single" w:sz="4" w:space="0" w:color="auto"/>
            </w:tcBorders>
            <w:shd w:val="clear" w:color="auto" w:fill="auto"/>
            <w:noWrap/>
            <w:vAlign w:val="center"/>
            <w:hideMark/>
          </w:tcPr>
          <w:p w14:paraId="1D3DA71D" w14:textId="77777777" w:rsidR="00286810" w:rsidRPr="00066710" w:rsidRDefault="00286810" w:rsidP="004877F2">
            <w:pPr>
              <w:jc w:val="right"/>
              <w:rPr>
                <w:rFonts w:cstheme="minorHAnsi"/>
                <w:color w:val="000000"/>
              </w:rPr>
            </w:pPr>
            <w:r w:rsidRPr="00066710">
              <w:rPr>
                <w:color w:val="000000"/>
              </w:rPr>
              <w:t>242.5</w:t>
            </w:r>
          </w:p>
        </w:tc>
        <w:tc>
          <w:tcPr>
            <w:tcW w:w="952" w:type="dxa"/>
            <w:tcBorders>
              <w:top w:val="nil"/>
              <w:left w:val="nil"/>
              <w:bottom w:val="single" w:sz="4" w:space="0" w:color="auto"/>
              <w:right w:val="single" w:sz="4" w:space="0" w:color="auto"/>
            </w:tcBorders>
            <w:shd w:val="clear" w:color="000000" w:fill="FFFFFF"/>
            <w:noWrap/>
            <w:vAlign w:val="center"/>
            <w:hideMark/>
          </w:tcPr>
          <w:p w14:paraId="6140BD27" w14:textId="77777777" w:rsidR="00286810" w:rsidRPr="00066710" w:rsidRDefault="00286810" w:rsidP="004877F2">
            <w:pPr>
              <w:jc w:val="right"/>
              <w:rPr>
                <w:rFonts w:cstheme="minorHAnsi"/>
                <w:color w:val="000000"/>
              </w:rPr>
            </w:pPr>
            <w:r w:rsidRPr="00066710">
              <w:rPr>
                <w:color w:val="000000"/>
              </w:rPr>
              <w:t>263.7</w:t>
            </w:r>
          </w:p>
        </w:tc>
        <w:tc>
          <w:tcPr>
            <w:tcW w:w="952" w:type="dxa"/>
            <w:tcBorders>
              <w:top w:val="nil"/>
              <w:left w:val="nil"/>
              <w:bottom w:val="single" w:sz="4" w:space="0" w:color="auto"/>
              <w:right w:val="nil"/>
            </w:tcBorders>
            <w:shd w:val="clear" w:color="auto" w:fill="auto"/>
            <w:noWrap/>
            <w:vAlign w:val="center"/>
            <w:hideMark/>
          </w:tcPr>
          <w:p w14:paraId="0BA57529" w14:textId="77777777" w:rsidR="00286810" w:rsidRPr="00066710" w:rsidRDefault="00286810" w:rsidP="004877F2">
            <w:pPr>
              <w:jc w:val="right"/>
              <w:rPr>
                <w:rFonts w:cstheme="minorHAnsi"/>
                <w:color w:val="000000"/>
              </w:rPr>
            </w:pPr>
            <w:r w:rsidRPr="00066710">
              <w:rPr>
                <w:color w:val="000000"/>
              </w:rPr>
              <w:t>8.7%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658C6043" w14:textId="77777777" w:rsidR="00286810" w:rsidRPr="00066710" w:rsidRDefault="00286810" w:rsidP="004877F2">
            <w:pPr>
              <w:jc w:val="right"/>
              <w:rPr>
                <w:rFonts w:cstheme="minorHAnsi"/>
                <w:color w:val="000000"/>
              </w:rPr>
            </w:pPr>
            <w:r w:rsidRPr="00066710">
              <w:rPr>
                <w:color w:val="000000"/>
              </w:rPr>
              <w:t>+8.8%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555D749" w14:textId="77777777" w:rsidR="00286810" w:rsidRPr="00066710" w:rsidRDefault="00286810" w:rsidP="004877F2">
            <w:pPr>
              <w:jc w:val="right"/>
              <w:rPr>
                <w:rFonts w:cstheme="minorHAnsi"/>
                <w:b/>
                <w:bCs/>
              </w:rPr>
            </w:pPr>
            <w:r w:rsidRPr="00066710">
              <w:rPr>
                <w:b/>
              </w:rPr>
              <w:t>sq</w:t>
            </w:r>
          </w:p>
        </w:tc>
      </w:tr>
      <w:tr w:rsidR="00286810" w:rsidRPr="00066710" w14:paraId="12DC835F" w14:textId="77777777" w:rsidTr="004877F2">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477051C" w14:textId="77777777" w:rsidR="00286810" w:rsidRPr="00066710" w:rsidRDefault="00286810" w:rsidP="004877F2">
            <w:pPr>
              <w:rPr>
                <w:rFonts w:cstheme="minorHAnsi"/>
                <w:color w:val="000000"/>
              </w:rPr>
            </w:pPr>
            <w:r w:rsidRPr="00066710">
              <w:rPr>
                <w:color w:val="000000"/>
              </w:rPr>
              <w:t>Mattresses and bases</w:t>
            </w:r>
          </w:p>
        </w:tc>
        <w:tc>
          <w:tcPr>
            <w:tcW w:w="952" w:type="dxa"/>
            <w:tcBorders>
              <w:top w:val="nil"/>
              <w:left w:val="nil"/>
              <w:bottom w:val="single" w:sz="4" w:space="0" w:color="auto"/>
              <w:right w:val="single" w:sz="4" w:space="0" w:color="auto"/>
            </w:tcBorders>
            <w:shd w:val="clear" w:color="auto" w:fill="auto"/>
            <w:noWrap/>
            <w:vAlign w:val="center"/>
            <w:hideMark/>
          </w:tcPr>
          <w:p w14:paraId="250BE435" w14:textId="77777777" w:rsidR="00286810" w:rsidRPr="00066710" w:rsidRDefault="00286810" w:rsidP="004877F2">
            <w:pPr>
              <w:jc w:val="right"/>
              <w:rPr>
                <w:rFonts w:cstheme="minorHAnsi"/>
                <w:color w:val="000000"/>
              </w:rPr>
            </w:pPr>
            <w:r w:rsidRPr="00066710">
              <w:rPr>
                <w:color w:val="000000"/>
              </w:rPr>
              <w:t>394.1</w:t>
            </w:r>
          </w:p>
        </w:tc>
        <w:tc>
          <w:tcPr>
            <w:tcW w:w="952" w:type="dxa"/>
            <w:tcBorders>
              <w:top w:val="nil"/>
              <w:left w:val="nil"/>
              <w:bottom w:val="single" w:sz="4" w:space="0" w:color="auto"/>
              <w:right w:val="single" w:sz="4" w:space="0" w:color="auto"/>
            </w:tcBorders>
            <w:shd w:val="clear" w:color="auto" w:fill="auto"/>
            <w:noWrap/>
            <w:vAlign w:val="center"/>
            <w:hideMark/>
          </w:tcPr>
          <w:p w14:paraId="543E8158" w14:textId="77777777" w:rsidR="00286810" w:rsidRPr="00066710" w:rsidRDefault="00286810" w:rsidP="004877F2">
            <w:pPr>
              <w:jc w:val="right"/>
              <w:rPr>
                <w:rFonts w:cstheme="minorHAnsi"/>
                <w:color w:val="000000"/>
              </w:rPr>
            </w:pPr>
            <w:r w:rsidRPr="00066710">
              <w:rPr>
                <w:color w:val="000000"/>
              </w:rPr>
              <w:t>365.8</w:t>
            </w:r>
          </w:p>
        </w:tc>
        <w:tc>
          <w:tcPr>
            <w:tcW w:w="952" w:type="dxa"/>
            <w:tcBorders>
              <w:top w:val="nil"/>
              <w:left w:val="nil"/>
              <w:bottom w:val="single" w:sz="4" w:space="0" w:color="auto"/>
              <w:right w:val="single" w:sz="4" w:space="0" w:color="auto"/>
            </w:tcBorders>
            <w:shd w:val="clear" w:color="auto" w:fill="auto"/>
            <w:noWrap/>
            <w:vAlign w:val="center"/>
            <w:hideMark/>
          </w:tcPr>
          <w:p w14:paraId="7CF500BB" w14:textId="77777777" w:rsidR="00286810" w:rsidRPr="00066710" w:rsidRDefault="00286810" w:rsidP="004877F2">
            <w:pPr>
              <w:jc w:val="right"/>
              <w:rPr>
                <w:rFonts w:cstheme="minorHAnsi"/>
                <w:b/>
                <w:bCs/>
                <w:color w:val="000000"/>
              </w:rPr>
            </w:pPr>
            <w:r w:rsidRPr="00066710">
              <w:rPr>
                <w:b/>
                <w:color w:val="000000"/>
              </w:rPr>
              <w:t>-7.2%</w:t>
            </w:r>
          </w:p>
        </w:tc>
        <w:tc>
          <w:tcPr>
            <w:tcW w:w="953" w:type="dxa"/>
            <w:tcBorders>
              <w:top w:val="nil"/>
              <w:left w:val="nil"/>
              <w:bottom w:val="single" w:sz="4" w:space="0" w:color="auto"/>
              <w:right w:val="single" w:sz="4" w:space="0" w:color="auto"/>
            </w:tcBorders>
            <w:shd w:val="clear" w:color="auto" w:fill="auto"/>
            <w:noWrap/>
            <w:vAlign w:val="center"/>
            <w:hideMark/>
          </w:tcPr>
          <w:p w14:paraId="5E29F81F" w14:textId="77777777" w:rsidR="00286810" w:rsidRPr="00066710" w:rsidRDefault="00286810" w:rsidP="004877F2">
            <w:pPr>
              <w:jc w:val="right"/>
              <w:rPr>
                <w:rFonts w:cstheme="minorHAnsi"/>
                <w:color w:val="000000"/>
              </w:rPr>
            </w:pPr>
            <w:r w:rsidRPr="00066710">
              <w:rPr>
                <w:color w:val="000000"/>
              </w:rPr>
              <w:t>203.9</w:t>
            </w:r>
          </w:p>
        </w:tc>
        <w:tc>
          <w:tcPr>
            <w:tcW w:w="952" w:type="dxa"/>
            <w:tcBorders>
              <w:top w:val="nil"/>
              <w:left w:val="nil"/>
              <w:bottom w:val="single" w:sz="4" w:space="0" w:color="auto"/>
              <w:right w:val="single" w:sz="4" w:space="0" w:color="auto"/>
            </w:tcBorders>
            <w:shd w:val="clear" w:color="000000" w:fill="FFFFFF"/>
            <w:noWrap/>
            <w:vAlign w:val="center"/>
            <w:hideMark/>
          </w:tcPr>
          <w:p w14:paraId="0B20B693" w14:textId="77777777" w:rsidR="00286810" w:rsidRPr="00066710" w:rsidRDefault="00286810" w:rsidP="004877F2">
            <w:pPr>
              <w:jc w:val="right"/>
              <w:rPr>
                <w:rFonts w:cstheme="minorHAnsi"/>
                <w:color w:val="000000"/>
              </w:rPr>
            </w:pPr>
            <w:r w:rsidRPr="00066710">
              <w:rPr>
                <w:color w:val="000000"/>
              </w:rPr>
              <w:t>144.5</w:t>
            </w:r>
          </w:p>
        </w:tc>
        <w:tc>
          <w:tcPr>
            <w:tcW w:w="952" w:type="dxa"/>
            <w:tcBorders>
              <w:top w:val="nil"/>
              <w:left w:val="nil"/>
              <w:bottom w:val="single" w:sz="4" w:space="0" w:color="auto"/>
              <w:right w:val="nil"/>
            </w:tcBorders>
            <w:shd w:val="clear" w:color="auto" w:fill="auto"/>
            <w:noWrap/>
            <w:vAlign w:val="center"/>
            <w:hideMark/>
          </w:tcPr>
          <w:p w14:paraId="0108DBCE" w14:textId="77777777" w:rsidR="00286810" w:rsidRPr="00066710" w:rsidRDefault="00286810" w:rsidP="004877F2">
            <w:pPr>
              <w:jc w:val="right"/>
              <w:rPr>
                <w:rFonts w:cstheme="minorHAnsi"/>
                <w:color w:val="000000"/>
              </w:rPr>
            </w:pPr>
            <w:r w:rsidRPr="00066710">
              <w:rPr>
                <w:color w:val="000000"/>
              </w:rPr>
              <w:t>-29.1%</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4BE51C5E" w14:textId="77777777" w:rsidR="00286810" w:rsidRPr="00066710" w:rsidRDefault="00286810" w:rsidP="004877F2">
            <w:pPr>
              <w:jc w:val="right"/>
              <w:rPr>
                <w:rFonts w:cstheme="minorHAnsi"/>
                <w:color w:val="000000"/>
              </w:rPr>
            </w:pPr>
            <w:r w:rsidRPr="00066710">
              <w:rPr>
                <w:color w:val="000000"/>
              </w:rPr>
              <w:t>+2.6%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F7E1446" w14:textId="77777777" w:rsidR="00286810" w:rsidRPr="00066710" w:rsidRDefault="00286810" w:rsidP="004877F2">
            <w:pPr>
              <w:jc w:val="right"/>
              <w:rPr>
                <w:rFonts w:cstheme="minorHAnsi"/>
                <w:b/>
                <w:bCs/>
              </w:rPr>
            </w:pPr>
            <w:r w:rsidRPr="00066710">
              <w:rPr>
                <w:b/>
              </w:rPr>
              <w:t>-26.5%</w:t>
            </w:r>
          </w:p>
        </w:tc>
      </w:tr>
      <w:tr w:rsidR="00286810" w:rsidRPr="00066710" w14:paraId="2B7D902E" w14:textId="77777777" w:rsidTr="004877F2">
        <w:trPr>
          <w:trHeight w:val="360"/>
        </w:trPr>
        <w:tc>
          <w:tcPr>
            <w:tcW w:w="2835" w:type="dxa"/>
            <w:tcBorders>
              <w:top w:val="nil"/>
              <w:left w:val="single" w:sz="4" w:space="0" w:color="auto"/>
              <w:bottom w:val="single" w:sz="4" w:space="0" w:color="auto"/>
              <w:right w:val="single" w:sz="4" w:space="0" w:color="auto"/>
            </w:tcBorders>
            <w:shd w:val="clear" w:color="auto" w:fill="FFC000"/>
            <w:noWrap/>
            <w:vAlign w:val="center"/>
            <w:hideMark/>
          </w:tcPr>
          <w:p w14:paraId="30A880FF" w14:textId="77777777" w:rsidR="00286810" w:rsidRPr="00066710" w:rsidRDefault="00286810" w:rsidP="004877F2">
            <w:pPr>
              <w:rPr>
                <w:rFonts w:cstheme="minorHAnsi"/>
                <w:color w:val="000000"/>
              </w:rPr>
            </w:pPr>
            <w:r w:rsidRPr="00066710">
              <w:rPr>
                <w:color w:val="000000"/>
              </w:rPr>
              <w:t>Furniture industry</w:t>
            </w:r>
          </w:p>
        </w:tc>
        <w:tc>
          <w:tcPr>
            <w:tcW w:w="952" w:type="dxa"/>
            <w:tcBorders>
              <w:top w:val="nil"/>
              <w:left w:val="nil"/>
              <w:bottom w:val="single" w:sz="4" w:space="0" w:color="auto"/>
              <w:right w:val="single" w:sz="4" w:space="0" w:color="auto"/>
            </w:tcBorders>
            <w:shd w:val="clear" w:color="auto" w:fill="FFC000"/>
            <w:noWrap/>
            <w:vAlign w:val="center"/>
            <w:hideMark/>
          </w:tcPr>
          <w:p w14:paraId="4B6973ED" w14:textId="77777777" w:rsidR="00286810" w:rsidRPr="00066710" w:rsidRDefault="00286810" w:rsidP="004877F2">
            <w:pPr>
              <w:jc w:val="right"/>
              <w:rPr>
                <w:rFonts w:cstheme="minorHAnsi"/>
                <w:color w:val="000000"/>
              </w:rPr>
            </w:pPr>
            <w:r w:rsidRPr="00066710">
              <w:rPr>
                <w:color w:val="000000"/>
              </w:rPr>
              <w:t>2,067.2</w:t>
            </w:r>
          </w:p>
        </w:tc>
        <w:tc>
          <w:tcPr>
            <w:tcW w:w="952" w:type="dxa"/>
            <w:tcBorders>
              <w:top w:val="nil"/>
              <w:left w:val="nil"/>
              <w:bottom w:val="single" w:sz="4" w:space="0" w:color="auto"/>
              <w:right w:val="single" w:sz="4" w:space="0" w:color="auto"/>
            </w:tcBorders>
            <w:shd w:val="clear" w:color="auto" w:fill="FFC000"/>
            <w:noWrap/>
            <w:vAlign w:val="center"/>
            <w:hideMark/>
          </w:tcPr>
          <w:p w14:paraId="27913B44" w14:textId="77777777" w:rsidR="00286810" w:rsidRPr="00066710" w:rsidRDefault="00286810" w:rsidP="004877F2">
            <w:pPr>
              <w:jc w:val="right"/>
              <w:rPr>
                <w:rFonts w:cstheme="minorHAnsi"/>
                <w:color w:val="000000"/>
              </w:rPr>
            </w:pPr>
            <w:r w:rsidRPr="00066710">
              <w:rPr>
                <w:color w:val="000000"/>
              </w:rPr>
              <w:t>2,272.1</w:t>
            </w:r>
          </w:p>
        </w:tc>
        <w:tc>
          <w:tcPr>
            <w:tcW w:w="952" w:type="dxa"/>
            <w:tcBorders>
              <w:top w:val="nil"/>
              <w:left w:val="nil"/>
              <w:bottom w:val="single" w:sz="4" w:space="0" w:color="auto"/>
              <w:right w:val="single" w:sz="4" w:space="0" w:color="auto"/>
            </w:tcBorders>
            <w:shd w:val="clear" w:color="auto" w:fill="FFC000"/>
            <w:noWrap/>
            <w:vAlign w:val="center"/>
            <w:hideMark/>
          </w:tcPr>
          <w:p w14:paraId="099B7653" w14:textId="77777777" w:rsidR="00286810" w:rsidRPr="00066710" w:rsidRDefault="00286810" w:rsidP="004877F2">
            <w:pPr>
              <w:jc w:val="right"/>
              <w:rPr>
                <w:rFonts w:cstheme="minorHAnsi"/>
                <w:b/>
                <w:bCs/>
                <w:color w:val="000000"/>
              </w:rPr>
            </w:pPr>
            <w:r w:rsidRPr="00066710">
              <w:rPr>
                <w:b/>
                <w:color w:val="000000"/>
              </w:rPr>
              <w:t>9.9%</w:t>
            </w:r>
          </w:p>
        </w:tc>
        <w:tc>
          <w:tcPr>
            <w:tcW w:w="953" w:type="dxa"/>
            <w:tcBorders>
              <w:top w:val="nil"/>
              <w:left w:val="nil"/>
              <w:bottom w:val="single" w:sz="4" w:space="0" w:color="auto"/>
              <w:right w:val="single" w:sz="4" w:space="0" w:color="auto"/>
            </w:tcBorders>
            <w:shd w:val="clear" w:color="auto" w:fill="FFC000"/>
            <w:noWrap/>
            <w:vAlign w:val="center"/>
            <w:hideMark/>
          </w:tcPr>
          <w:p w14:paraId="2C1700BB" w14:textId="77777777" w:rsidR="00286810" w:rsidRPr="00066710" w:rsidRDefault="00286810" w:rsidP="004877F2">
            <w:pPr>
              <w:jc w:val="right"/>
              <w:rPr>
                <w:rFonts w:cstheme="minorHAnsi"/>
                <w:color w:val="000000"/>
              </w:rPr>
            </w:pPr>
            <w:r w:rsidRPr="00066710">
              <w:rPr>
                <w:color w:val="000000"/>
              </w:rPr>
              <w:t>1,156.7</w:t>
            </w:r>
          </w:p>
        </w:tc>
        <w:tc>
          <w:tcPr>
            <w:tcW w:w="952" w:type="dxa"/>
            <w:tcBorders>
              <w:top w:val="nil"/>
              <w:left w:val="nil"/>
              <w:bottom w:val="single" w:sz="4" w:space="0" w:color="auto"/>
              <w:right w:val="single" w:sz="4" w:space="0" w:color="auto"/>
            </w:tcBorders>
            <w:shd w:val="clear" w:color="auto" w:fill="FFC000"/>
            <w:noWrap/>
            <w:vAlign w:val="center"/>
            <w:hideMark/>
          </w:tcPr>
          <w:p w14:paraId="0983D0B7" w14:textId="77777777" w:rsidR="00286810" w:rsidRPr="00066710" w:rsidRDefault="00286810" w:rsidP="004877F2">
            <w:pPr>
              <w:jc w:val="right"/>
              <w:rPr>
                <w:rFonts w:cstheme="minorHAnsi"/>
                <w:color w:val="000000"/>
              </w:rPr>
            </w:pPr>
            <w:r w:rsidRPr="00066710">
              <w:rPr>
                <w:color w:val="000000"/>
              </w:rPr>
              <w:t>1,190.5</w:t>
            </w:r>
          </w:p>
        </w:tc>
        <w:tc>
          <w:tcPr>
            <w:tcW w:w="952" w:type="dxa"/>
            <w:tcBorders>
              <w:top w:val="nil"/>
              <w:left w:val="nil"/>
              <w:bottom w:val="single" w:sz="4" w:space="0" w:color="auto"/>
              <w:right w:val="nil"/>
            </w:tcBorders>
            <w:shd w:val="clear" w:color="auto" w:fill="FFC000"/>
            <w:noWrap/>
            <w:vAlign w:val="center"/>
            <w:hideMark/>
          </w:tcPr>
          <w:p w14:paraId="20EABA99" w14:textId="77777777" w:rsidR="00286810" w:rsidRPr="00066710" w:rsidRDefault="00286810" w:rsidP="004877F2">
            <w:pPr>
              <w:jc w:val="right"/>
              <w:rPr>
                <w:rFonts w:cstheme="minorHAnsi"/>
                <w:color w:val="000000"/>
              </w:rPr>
            </w:pPr>
            <w:r w:rsidRPr="00066710">
              <w:rPr>
                <w:color w:val="000000"/>
              </w:rPr>
              <w:t>2.9%</w:t>
            </w:r>
          </w:p>
        </w:tc>
        <w:tc>
          <w:tcPr>
            <w:tcW w:w="952" w:type="dxa"/>
            <w:tcBorders>
              <w:top w:val="nil"/>
              <w:left w:val="single" w:sz="12" w:space="0" w:color="auto"/>
              <w:bottom w:val="single" w:sz="4" w:space="0" w:color="auto"/>
              <w:right w:val="single" w:sz="4" w:space="0" w:color="auto"/>
            </w:tcBorders>
            <w:shd w:val="clear" w:color="auto" w:fill="FFC000"/>
            <w:noWrap/>
            <w:vAlign w:val="center"/>
            <w:hideMark/>
          </w:tcPr>
          <w:p w14:paraId="6805494F" w14:textId="77777777" w:rsidR="00286810" w:rsidRPr="00066710" w:rsidRDefault="00286810" w:rsidP="004877F2">
            <w:pPr>
              <w:jc w:val="right"/>
              <w:rPr>
                <w:rFonts w:cstheme="minorHAnsi"/>
                <w:color w:val="000000"/>
              </w:rPr>
            </w:pPr>
            <w:r w:rsidRPr="00066710">
              <w:rPr>
                <w:color w:val="000000"/>
              </w:rPr>
              <w:t>+15.7%</w:t>
            </w:r>
          </w:p>
        </w:tc>
        <w:tc>
          <w:tcPr>
            <w:tcW w:w="953" w:type="dxa"/>
            <w:tcBorders>
              <w:top w:val="nil"/>
              <w:left w:val="single" w:sz="12" w:space="0" w:color="auto"/>
              <w:bottom w:val="single" w:sz="4" w:space="0" w:color="auto"/>
              <w:right w:val="single" w:sz="4" w:space="0" w:color="auto"/>
            </w:tcBorders>
            <w:shd w:val="clear" w:color="auto" w:fill="FFC000"/>
            <w:noWrap/>
            <w:vAlign w:val="center"/>
            <w:hideMark/>
          </w:tcPr>
          <w:p w14:paraId="2DDA51B6" w14:textId="77777777" w:rsidR="00286810" w:rsidRPr="00066710" w:rsidRDefault="00286810" w:rsidP="004877F2">
            <w:pPr>
              <w:jc w:val="right"/>
              <w:rPr>
                <w:rFonts w:cstheme="minorHAnsi"/>
                <w:b/>
                <w:bCs/>
              </w:rPr>
            </w:pPr>
            <w:r w:rsidRPr="00066710">
              <w:rPr>
                <w:b/>
              </w:rPr>
              <w:t>-13%</w:t>
            </w:r>
          </w:p>
        </w:tc>
      </w:tr>
    </w:tbl>
    <w:p w14:paraId="0B10FF1E" w14:textId="77777777" w:rsidR="00286810" w:rsidRPr="00066710" w:rsidRDefault="00286810" w:rsidP="00286810">
      <w:pPr>
        <w:pStyle w:val="Plattetekst"/>
        <w:tabs>
          <w:tab w:val="clear" w:pos="3884"/>
          <w:tab w:val="left" w:pos="567"/>
        </w:tabs>
        <w:rPr>
          <w:rFonts w:asciiTheme="minorHAnsi" w:hAnsiTheme="minorHAnsi" w:cstheme="minorHAnsi"/>
          <w:noProof w:val="0"/>
          <w:sz w:val="16"/>
          <w:szCs w:val="10"/>
        </w:rPr>
      </w:pPr>
      <w:r w:rsidRPr="00066710">
        <w:rPr>
          <w:rFonts w:asciiTheme="minorHAnsi" w:hAnsiTheme="minorHAnsi"/>
          <w:noProof w:val="0"/>
          <w:sz w:val="16"/>
        </w:rPr>
        <w:t>Source: FPS Economy, VAT returns</w:t>
      </w:r>
    </w:p>
    <w:p w14:paraId="2617E38A" w14:textId="77777777" w:rsidR="00286810" w:rsidRPr="00066710" w:rsidRDefault="00286810" w:rsidP="00286810">
      <w:pPr>
        <w:pStyle w:val="Plattetekst"/>
        <w:tabs>
          <w:tab w:val="clear" w:pos="3884"/>
          <w:tab w:val="left" w:pos="567"/>
        </w:tabs>
        <w:rPr>
          <w:rFonts w:asciiTheme="minorHAnsi" w:hAnsiTheme="minorHAnsi" w:cstheme="minorHAnsi"/>
          <w:noProof w:val="0"/>
          <w:sz w:val="18"/>
        </w:rPr>
      </w:pPr>
      <w:r w:rsidRPr="00066710">
        <w:rPr>
          <w:rFonts w:asciiTheme="minorHAnsi" w:hAnsiTheme="minorHAnsi"/>
          <w:noProof w:val="0"/>
          <w:sz w:val="18"/>
        </w:rPr>
        <w:t>* Provisional data</w:t>
      </w:r>
    </w:p>
    <w:p w14:paraId="7D80DD1A" w14:textId="77777777" w:rsidR="00286810" w:rsidRPr="00066710" w:rsidRDefault="00286810" w:rsidP="00286810">
      <w:pPr>
        <w:pStyle w:val="Plattetekst"/>
        <w:rPr>
          <w:rFonts w:asciiTheme="minorHAnsi" w:hAnsiTheme="minorHAnsi" w:cstheme="minorHAnsi"/>
          <w:noProof w:val="0"/>
          <w:szCs w:val="22"/>
        </w:rPr>
      </w:pPr>
    </w:p>
    <w:p w14:paraId="53AF2295"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In the first half of 2022, the Belgian furniture industry turnover amounted to 1,190.5 million euros, a rise of 2.9% compared to the first half of 2021. During the same period, however, sales prices increased by 15.7%, so in real terms (volume), we recorded a de facto decline in turnover of 13%. In 2021, sales further increased by 9.9% compared to 2020.</w:t>
      </w:r>
    </w:p>
    <w:p w14:paraId="00CE9CF4" w14:textId="77777777" w:rsidR="00286810" w:rsidRPr="00286810" w:rsidRDefault="00286810" w:rsidP="00286810">
      <w:pPr>
        <w:pStyle w:val="Plattetekst"/>
        <w:rPr>
          <w:rFonts w:asciiTheme="minorHAnsi" w:hAnsiTheme="minorHAnsi" w:cstheme="minorHAnsi"/>
          <w:noProof w:val="0"/>
          <w:szCs w:val="22"/>
          <w:lang w:val="en-US"/>
        </w:rPr>
      </w:pPr>
    </w:p>
    <w:p w14:paraId="1167E28F"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These price increases can be traced back to increased raw material, commodity, energy and labour costs, fuelled in part by high inflation and the war in Ukraine.</w:t>
      </w:r>
    </w:p>
    <w:p w14:paraId="596B37FA" w14:textId="77777777" w:rsidR="00286810" w:rsidRPr="00286810" w:rsidRDefault="00286810" w:rsidP="00286810">
      <w:pPr>
        <w:pStyle w:val="Plattetekst"/>
        <w:rPr>
          <w:rFonts w:asciiTheme="minorHAnsi" w:hAnsiTheme="minorHAnsi" w:cstheme="minorHAnsi"/>
          <w:noProof w:val="0"/>
          <w:szCs w:val="22"/>
          <w:lang w:val="en-US"/>
        </w:rPr>
      </w:pPr>
    </w:p>
    <w:p w14:paraId="014F67B9"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 xml:space="preserve">Office and retail furniture saw marked increases in turnover, both in 2021 and in the first half of 2022. Residential furniture had a good year in 2021 with a plus of just under 15%, but activity did fall somewhat in the first half of 2022 to a modest 1.9% increase in turnover. Kitchen furniture remains popular, and volumes were able to be maintained. One striking observation is the decline in mattresses and bed bases, both in 2021 and in the first half of 2022, at least according to official statistics. </w:t>
      </w:r>
    </w:p>
    <w:p w14:paraId="5E4AE398" w14:textId="77777777" w:rsidR="00286810" w:rsidRPr="00286810" w:rsidRDefault="00286810" w:rsidP="00286810">
      <w:pPr>
        <w:pStyle w:val="Plattetekst"/>
        <w:rPr>
          <w:rFonts w:asciiTheme="minorHAnsi" w:hAnsiTheme="minorHAnsi" w:cstheme="minorHAnsi"/>
          <w:noProof w:val="0"/>
          <w:highlight w:val="yellow"/>
          <w:lang w:val="en-US"/>
        </w:rPr>
      </w:pPr>
    </w:p>
    <w:p w14:paraId="7A0A31AE" w14:textId="77777777" w:rsidR="00286810" w:rsidRPr="00286810" w:rsidRDefault="00286810" w:rsidP="00286810">
      <w:pPr>
        <w:pStyle w:val="Plattetekst"/>
        <w:rPr>
          <w:rFonts w:asciiTheme="minorHAnsi" w:hAnsiTheme="minorHAnsi" w:cstheme="minorHAnsi"/>
          <w:noProof w:val="0"/>
          <w:lang w:val="en-US"/>
        </w:rPr>
      </w:pPr>
    </w:p>
    <w:p w14:paraId="7420E85A" w14:textId="77777777" w:rsidR="00286810" w:rsidRPr="00066710" w:rsidRDefault="00286810" w:rsidP="00286810">
      <w:pPr>
        <w:rPr>
          <w:sz w:val="16"/>
          <w:szCs w:val="16"/>
        </w:rPr>
      </w:pPr>
      <w:r w:rsidRPr="00066710">
        <w:rPr>
          <w:noProof/>
          <w:sz w:val="16"/>
          <w:szCs w:val="10"/>
        </w:rPr>
        <w:drawing>
          <wp:inline distT="0" distB="0" distL="0" distR="0" wp14:anchorId="0AD1507F" wp14:editId="1B09DC66">
            <wp:extent cx="5760085" cy="2464661"/>
            <wp:effectExtent l="0" t="0" r="12065" b="12065"/>
            <wp:docPr id="3" name="Grafiek 3">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7EC68C" w14:textId="77777777" w:rsidR="00286810" w:rsidRPr="00286810" w:rsidRDefault="00286810" w:rsidP="00286810">
      <w:pPr>
        <w:ind w:firstLine="567"/>
        <w:rPr>
          <w:rFonts w:cstheme="minorHAnsi"/>
          <w:sz w:val="16"/>
          <w:szCs w:val="10"/>
          <w:lang w:val="en-US"/>
        </w:rPr>
      </w:pPr>
      <w:r w:rsidRPr="00286810">
        <w:rPr>
          <w:sz w:val="16"/>
          <w:lang w:val="en-US"/>
        </w:rPr>
        <w:t>Source: FPS Economy, VAT returns</w:t>
      </w:r>
    </w:p>
    <w:p w14:paraId="7393BA74" w14:textId="77777777" w:rsidR="00286810" w:rsidRPr="00286810" w:rsidRDefault="00286810" w:rsidP="00286810">
      <w:pPr>
        <w:pStyle w:val="Plattetekst"/>
        <w:rPr>
          <w:rFonts w:asciiTheme="minorHAnsi" w:hAnsiTheme="minorHAnsi" w:cstheme="minorHAnsi"/>
          <w:noProof w:val="0"/>
          <w:lang w:val="en-US"/>
        </w:rPr>
      </w:pPr>
    </w:p>
    <w:p w14:paraId="0564ECEE" w14:textId="77777777" w:rsidR="00286810" w:rsidRPr="00286810" w:rsidRDefault="00286810" w:rsidP="00286810">
      <w:pPr>
        <w:pStyle w:val="Plattetekst"/>
        <w:rPr>
          <w:rFonts w:asciiTheme="minorHAnsi" w:hAnsiTheme="minorHAnsi" w:cstheme="minorHAnsi"/>
          <w:b/>
          <w:bCs/>
          <w:noProof w:val="0"/>
          <w:u w:val="single"/>
          <w:lang w:val="en-US"/>
        </w:rPr>
      </w:pPr>
      <w:r w:rsidRPr="00286810">
        <w:rPr>
          <w:rFonts w:asciiTheme="minorHAnsi" w:hAnsiTheme="minorHAnsi"/>
          <w:b/>
          <w:noProof w:val="0"/>
          <w:u w:val="single"/>
          <w:lang w:val="en-US"/>
        </w:rPr>
        <w:t>Investments and production capacity utilisation rate</w:t>
      </w:r>
    </w:p>
    <w:p w14:paraId="0BE21273" w14:textId="77777777" w:rsidR="00286810" w:rsidRPr="00286810" w:rsidRDefault="00286810" w:rsidP="00286810">
      <w:pPr>
        <w:pStyle w:val="Plattetekst"/>
        <w:rPr>
          <w:rFonts w:asciiTheme="minorHAnsi" w:hAnsiTheme="minorHAnsi" w:cstheme="minorHAnsi"/>
          <w:noProof w:val="0"/>
          <w:sz w:val="20"/>
          <w:highlight w:val="yellow"/>
          <w:lang w:val="en-US"/>
        </w:rPr>
      </w:pPr>
    </w:p>
    <w:p w14:paraId="7AEA6ACA"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During the first half of 2022, the Belgian furniture industry invested 37.5 million euros, i.e. a fall of 1.3% compared to the same period in 2021. A total of 74.5 million euros were invested in 2021, and the investment volume remained at the same level compared to the previous year.</w:t>
      </w:r>
    </w:p>
    <w:p w14:paraId="0E0FBD40" w14:textId="77777777" w:rsidR="00286810" w:rsidRPr="00286810" w:rsidRDefault="00286810" w:rsidP="00286810">
      <w:pPr>
        <w:pStyle w:val="Plattetekst"/>
        <w:rPr>
          <w:rFonts w:asciiTheme="minorHAnsi" w:hAnsiTheme="minorHAnsi" w:cstheme="minorHAnsi"/>
          <w:noProof w:val="0"/>
          <w:lang w:val="en-US"/>
        </w:rPr>
      </w:pPr>
    </w:p>
    <w:p w14:paraId="0CDBE917"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The mattresses and bed bases subsector saw a catch-up in terms of investments in the first half of 2022. In 6 months' time, more than 75% of the 2021 investment volume had already been reached. The willingness to invest in the kitchen furniture subsector remains weak (-4.9% in the first half of 2022 compared to the same period last year).</w:t>
      </w:r>
    </w:p>
    <w:p w14:paraId="6B89CA9B" w14:textId="77777777" w:rsidR="00286810" w:rsidRPr="00286810" w:rsidRDefault="00286810" w:rsidP="00286810">
      <w:pPr>
        <w:pStyle w:val="Plattetekst"/>
        <w:rPr>
          <w:rFonts w:asciiTheme="minorHAnsi" w:hAnsiTheme="minorHAnsi" w:cstheme="minorHAnsi"/>
          <w:noProof w:val="0"/>
          <w:lang w:val="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851"/>
        <w:gridCol w:w="850"/>
        <w:gridCol w:w="992"/>
        <w:gridCol w:w="993"/>
        <w:gridCol w:w="1134"/>
        <w:gridCol w:w="1275"/>
      </w:tblGrid>
      <w:tr w:rsidR="00286810" w:rsidRPr="00203B4B" w14:paraId="32DBD184" w14:textId="77777777" w:rsidTr="004877F2">
        <w:tc>
          <w:tcPr>
            <w:tcW w:w="9062" w:type="dxa"/>
            <w:gridSpan w:val="7"/>
            <w:shd w:val="clear" w:color="auto" w:fill="FFC000"/>
            <w:tcMar>
              <w:top w:w="15" w:type="dxa"/>
              <w:left w:w="70" w:type="dxa"/>
              <w:bottom w:w="0" w:type="dxa"/>
              <w:right w:w="70" w:type="dxa"/>
            </w:tcMar>
            <w:vAlign w:val="center"/>
            <w:hideMark/>
          </w:tcPr>
          <w:p w14:paraId="202E7F71" w14:textId="77777777" w:rsidR="00286810" w:rsidRPr="00286810" w:rsidRDefault="00286810" w:rsidP="004877F2">
            <w:pPr>
              <w:pStyle w:val="Plattetekst"/>
              <w:jc w:val="center"/>
              <w:rPr>
                <w:rFonts w:asciiTheme="minorHAnsi" w:hAnsiTheme="minorHAnsi" w:cstheme="minorHAnsi"/>
                <w:noProof w:val="0"/>
                <w:sz w:val="20"/>
                <w:lang w:val="en-US"/>
              </w:rPr>
            </w:pPr>
            <w:r w:rsidRPr="00286810">
              <w:rPr>
                <w:rFonts w:asciiTheme="minorHAnsi" w:hAnsiTheme="minorHAnsi"/>
                <w:b/>
                <w:noProof w:val="0"/>
                <w:sz w:val="20"/>
                <w:lang w:val="en-US"/>
              </w:rPr>
              <w:t>Development of investments in the furniture industry</w:t>
            </w:r>
          </w:p>
        </w:tc>
      </w:tr>
      <w:tr w:rsidR="00286810" w:rsidRPr="00066710" w14:paraId="17EA85FB" w14:textId="77777777" w:rsidTr="004877F2">
        <w:tc>
          <w:tcPr>
            <w:tcW w:w="2967" w:type="dxa"/>
            <w:shd w:val="clear" w:color="auto" w:fill="auto"/>
            <w:tcMar>
              <w:top w:w="15" w:type="dxa"/>
              <w:left w:w="70" w:type="dxa"/>
              <w:bottom w:w="0" w:type="dxa"/>
              <w:right w:w="70" w:type="dxa"/>
            </w:tcMar>
            <w:vAlign w:val="center"/>
            <w:hideMark/>
          </w:tcPr>
          <w:p w14:paraId="36018906" w14:textId="77777777" w:rsidR="00286810" w:rsidRPr="00066710" w:rsidRDefault="00286810" w:rsidP="004877F2">
            <w:pPr>
              <w:pStyle w:val="Plattetekst"/>
              <w:jc w:val="center"/>
              <w:rPr>
                <w:rFonts w:asciiTheme="minorHAnsi" w:hAnsiTheme="minorHAnsi" w:cstheme="minorHAnsi"/>
                <w:b/>
                <w:noProof w:val="0"/>
                <w:sz w:val="20"/>
              </w:rPr>
            </w:pPr>
            <w:r w:rsidRPr="00066710">
              <w:rPr>
                <w:rFonts w:asciiTheme="minorHAnsi" w:hAnsiTheme="minorHAnsi"/>
                <w:b/>
                <w:noProof w:val="0"/>
                <w:sz w:val="20"/>
              </w:rPr>
              <w:t>In millions of euros</w:t>
            </w:r>
          </w:p>
        </w:tc>
        <w:tc>
          <w:tcPr>
            <w:tcW w:w="851" w:type="dxa"/>
            <w:shd w:val="clear" w:color="auto" w:fill="auto"/>
            <w:tcMar>
              <w:top w:w="15" w:type="dxa"/>
              <w:left w:w="70" w:type="dxa"/>
              <w:bottom w:w="0" w:type="dxa"/>
              <w:right w:w="70" w:type="dxa"/>
            </w:tcMar>
            <w:vAlign w:val="center"/>
            <w:hideMark/>
          </w:tcPr>
          <w:p w14:paraId="73F27D60"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2020</w:t>
            </w:r>
          </w:p>
        </w:tc>
        <w:tc>
          <w:tcPr>
            <w:tcW w:w="850" w:type="dxa"/>
            <w:shd w:val="clear" w:color="auto" w:fill="auto"/>
            <w:tcMar>
              <w:top w:w="15" w:type="dxa"/>
              <w:left w:w="70" w:type="dxa"/>
              <w:bottom w:w="0" w:type="dxa"/>
              <w:right w:w="70" w:type="dxa"/>
            </w:tcMar>
            <w:vAlign w:val="center"/>
            <w:hideMark/>
          </w:tcPr>
          <w:p w14:paraId="38C0AFAE"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2021</w:t>
            </w:r>
          </w:p>
        </w:tc>
        <w:tc>
          <w:tcPr>
            <w:tcW w:w="992" w:type="dxa"/>
            <w:shd w:val="clear" w:color="auto" w:fill="auto"/>
            <w:tcMar>
              <w:top w:w="15" w:type="dxa"/>
              <w:left w:w="70" w:type="dxa"/>
              <w:bottom w:w="0" w:type="dxa"/>
              <w:right w:w="70" w:type="dxa"/>
            </w:tcMar>
            <w:vAlign w:val="center"/>
            <w:hideMark/>
          </w:tcPr>
          <w:p w14:paraId="53207DF3"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21/20</w:t>
            </w:r>
          </w:p>
        </w:tc>
        <w:tc>
          <w:tcPr>
            <w:tcW w:w="993" w:type="dxa"/>
            <w:shd w:val="clear" w:color="auto" w:fill="auto"/>
            <w:tcMar>
              <w:top w:w="15" w:type="dxa"/>
              <w:left w:w="70" w:type="dxa"/>
              <w:bottom w:w="0" w:type="dxa"/>
              <w:right w:w="70" w:type="dxa"/>
            </w:tcMar>
            <w:vAlign w:val="center"/>
            <w:hideMark/>
          </w:tcPr>
          <w:p w14:paraId="208CC805"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6 m 21</w:t>
            </w:r>
          </w:p>
        </w:tc>
        <w:tc>
          <w:tcPr>
            <w:tcW w:w="1134" w:type="dxa"/>
            <w:shd w:val="clear" w:color="auto" w:fill="auto"/>
            <w:tcMar>
              <w:top w:w="15" w:type="dxa"/>
              <w:left w:w="70" w:type="dxa"/>
              <w:bottom w:w="0" w:type="dxa"/>
              <w:right w:w="70" w:type="dxa"/>
            </w:tcMar>
            <w:vAlign w:val="center"/>
            <w:hideMark/>
          </w:tcPr>
          <w:p w14:paraId="53E21B24"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6 m 22*</w:t>
            </w:r>
          </w:p>
        </w:tc>
        <w:tc>
          <w:tcPr>
            <w:tcW w:w="1275" w:type="dxa"/>
            <w:shd w:val="clear" w:color="auto" w:fill="auto"/>
            <w:tcMar>
              <w:top w:w="15" w:type="dxa"/>
              <w:left w:w="70" w:type="dxa"/>
              <w:bottom w:w="0" w:type="dxa"/>
              <w:right w:w="70" w:type="dxa"/>
            </w:tcMar>
            <w:vAlign w:val="center"/>
            <w:hideMark/>
          </w:tcPr>
          <w:p w14:paraId="24381E2E"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6 m 22/21*</w:t>
            </w:r>
          </w:p>
        </w:tc>
      </w:tr>
      <w:tr w:rsidR="00286810" w:rsidRPr="00066710" w14:paraId="6769FB95" w14:textId="77777777" w:rsidTr="004877F2">
        <w:tc>
          <w:tcPr>
            <w:tcW w:w="2967" w:type="dxa"/>
            <w:shd w:val="clear" w:color="auto" w:fill="auto"/>
            <w:tcMar>
              <w:top w:w="15" w:type="dxa"/>
              <w:left w:w="70" w:type="dxa"/>
              <w:bottom w:w="0" w:type="dxa"/>
              <w:right w:w="70" w:type="dxa"/>
            </w:tcMar>
            <w:vAlign w:val="center"/>
            <w:hideMark/>
          </w:tcPr>
          <w:p w14:paraId="1B22BBA9" w14:textId="77777777" w:rsidR="00286810" w:rsidRPr="00286810" w:rsidRDefault="00286810" w:rsidP="004877F2">
            <w:pPr>
              <w:pStyle w:val="Plattetekst"/>
              <w:jc w:val="left"/>
              <w:rPr>
                <w:rFonts w:asciiTheme="minorHAnsi" w:hAnsiTheme="minorHAnsi" w:cstheme="minorHAnsi"/>
                <w:noProof w:val="0"/>
                <w:sz w:val="20"/>
                <w:lang w:val="en-US"/>
              </w:rPr>
            </w:pPr>
            <w:r w:rsidRPr="00286810">
              <w:rPr>
                <w:rFonts w:asciiTheme="minorHAnsi" w:hAnsiTheme="minorHAnsi"/>
                <w:noProof w:val="0"/>
                <w:sz w:val="20"/>
                <w:lang w:val="en-US"/>
              </w:rPr>
              <w:t>Chairs and seating, dining room, bedroom, garden and patio furniture</w:t>
            </w:r>
          </w:p>
        </w:tc>
        <w:tc>
          <w:tcPr>
            <w:tcW w:w="851" w:type="dxa"/>
            <w:shd w:val="clear" w:color="auto" w:fill="auto"/>
            <w:tcMar>
              <w:top w:w="15" w:type="dxa"/>
              <w:left w:w="70" w:type="dxa"/>
              <w:bottom w:w="0" w:type="dxa"/>
              <w:right w:w="70" w:type="dxa"/>
            </w:tcMar>
            <w:vAlign w:val="center"/>
          </w:tcPr>
          <w:p w14:paraId="1E861531"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35.7</w:t>
            </w:r>
          </w:p>
        </w:tc>
        <w:tc>
          <w:tcPr>
            <w:tcW w:w="850" w:type="dxa"/>
            <w:shd w:val="clear" w:color="auto" w:fill="auto"/>
            <w:tcMar>
              <w:top w:w="15" w:type="dxa"/>
              <w:left w:w="70" w:type="dxa"/>
              <w:bottom w:w="0" w:type="dxa"/>
              <w:right w:w="70" w:type="dxa"/>
            </w:tcMar>
            <w:vAlign w:val="center"/>
          </w:tcPr>
          <w:p w14:paraId="18E7C7A1"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40.0</w:t>
            </w:r>
          </w:p>
        </w:tc>
        <w:tc>
          <w:tcPr>
            <w:tcW w:w="992" w:type="dxa"/>
            <w:shd w:val="clear" w:color="auto" w:fill="auto"/>
            <w:tcMar>
              <w:top w:w="15" w:type="dxa"/>
              <w:left w:w="70" w:type="dxa"/>
              <w:bottom w:w="0" w:type="dxa"/>
              <w:right w:w="70" w:type="dxa"/>
            </w:tcMar>
            <w:vAlign w:val="center"/>
            <w:hideMark/>
          </w:tcPr>
          <w:p w14:paraId="0EE22244"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+12.0%</w:t>
            </w:r>
          </w:p>
        </w:tc>
        <w:tc>
          <w:tcPr>
            <w:tcW w:w="993" w:type="dxa"/>
            <w:shd w:val="clear" w:color="auto" w:fill="auto"/>
            <w:tcMar>
              <w:top w:w="15" w:type="dxa"/>
              <w:left w:w="70" w:type="dxa"/>
              <w:bottom w:w="0" w:type="dxa"/>
              <w:right w:w="70" w:type="dxa"/>
            </w:tcMar>
            <w:vAlign w:val="center"/>
          </w:tcPr>
          <w:p w14:paraId="144935B7"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20.5</w:t>
            </w:r>
          </w:p>
        </w:tc>
        <w:tc>
          <w:tcPr>
            <w:tcW w:w="1134" w:type="dxa"/>
            <w:shd w:val="clear" w:color="auto" w:fill="auto"/>
            <w:tcMar>
              <w:top w:w="15" w:type="dxa"/>
              <w:left w:w="70" w:type="dxa"/>
              <w:bottom w:w="0" w:type="dxa"/>
              <w:right w:w="70" w:type="dxa"/>
            </w:tcMar>
            <w:vAlign w:val="center"/>
          </w:tcPr>
          <w:p w14:paraId="579E6AFF"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19.1</w:t>
            </w:r>
          </w:p>
        </w:tc>
        <w:tc>
          <w:tcPr>
            <w:tcW w:w="1275" w:type="dxa"/>
            <w:shd w:val="clear" w:color="auto" w:fill="auto"/>
            <w:tcMar>
              <w:top w:w="15" w:type="dxa"/>
              <w:left w:w="70" w:type="dxa"/>
              <w:bottom w:w="0" w:type="dxa"/>
              <w:right w:w="70" w:type="dxa"/>
            </w:tcMar>
            <w:vAlign w:val="center"/>
            <w:hideMark/>
          </w:tcPr>
          <w:p w14:paraId="737B9758"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-6.8%</w:t>
            </w:r>
          </w:p>
        </w:tc>
      </w:tr>
      <w:tr w:rsidR="00286810" w:rsidRPr="00066710" w14:paraId="2DAD9950" w14:textId="77777777" w:rsidTr="004877F2">
        <w:tc>
          <w:tcPr>
            <w:tcW w:w="2967" w:type="dxa"/>
            <w:shd w:val="clear" w:color="auto" w:fill="auto"/>
            <w:tcMar>
              <w:top w:w="15" w:type="dxa"/>
              <w:left w:w="70" w:type="dxa"/>
              <w:bottom w:w="0" w:type="dxa"/>
              <w:right w:w="70" w:type="dxa"/>
            </w:tcMar>
            <w:vAlign w:val="center"/>
            <w:hideMark/>
          </w:tcPr>
          <w:p w14:paraId="67E583A1" w14:textId="77777777" w:rsidR="00286810" w:rsidRPr="00066710" w:rsidRDefault="00286810" w:rsidP="004877F2">
            <w:pPr>
              <w:pStyle w:val="Plattetekst"/>
              <w:rPr>
                <w:rFonts w:asciiTheme="minorHAnsi" w:hAnsiTheme="minorHAnsi" w:cstheme="minorHAnsi"/>
                <w:noProof w:val="0"/>
                <w:sz w:val="20"/>
              </w:rPr>
            </w:pPr>
            <w:r w:rsidRPr="00066710">
              <w:rPr>
                <w:rFonts w:asciiTheme="minorHAnsi" w:hAnsiTheme="minorHAnsi"/>
                <w:noProof w:val="0"/>
                <w:sz w:val="20"/>
              </w:rPr>
              <w:t>Office and shop furniture</w:t>
            </w:r>
          </w:p>
        </w:tc>
        <w:tc>
          <w:tcPr>
            <w:tcW w:w="851" w:type="dxa"/>
            <w:shd w:val="clear" w:color="auto" w:fill="auto"/>
            <w:tcMar>
              <w:top w:w="15" w:type="dxa"/>
              <w:left w:w="70" w:type="dxa"/>
              <w:bottom w:w="0" w:type="dxa"/>
              <w:right w:w="70" w:type="dxa"/>
            </w:tcMar>
            <w:vAlign w:val="center"/>
          </w:tcPr>
          <w:p w14:paraId="6AF7A508"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8.7</w:t>
            </w:r>
          </w:p>
        </w:tc>
        <w:tc>
          <w:tcPr>
            <w:tcW w:w="850" w:type="dxa"/>
            <w:shd w:val="clear" w:color="auto" w:fill="auto"/>
            <w:tcMar>
              <w:top w:w="15" w:type="dxa"/>
              <w:left w:w="70" w:type="dxa"/>
              <w:bottom w:w="0" w:type="dxa"/>
              <w:right w:w="70" w:type="dxa"/>
            </w:tcMar>
            <w:vAlign w:val="center"/>
          </w:tcPr>
          <w:p w14:paraId="3983132D"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10.2</w:t>
            </w:r>
          </w:p>
        </w:tc>
        <w:tc>
          <w:tcPr>
            <w:tcW w:w="992" w:type="dxa"/>
            <w:shd w:val="clear" w:color="auto" w:fill="auto"/>
            <w:tcMar>
              <w:top w:w="15" w:type="dxa"/>
              <w:left w:w="70" w:type="dxa"/>
              <w:bottom w:w="0" w:type="dxa"/>
              <w:right w:w="70" w:type="dxa"/>
            </w:tcMar>
            <w:vAlign w:val="center"/>
            <w:hideMark/>
          </w:tcPr>
          <w:p w14:paraId="74837525"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+17.2%</w:t>
            </w:r>
          </w:p>
        </w:tc>
        <w:tc>
          <w:tcPr>
            <w:tcW w:w="993" w:type="dxa"/>
            <w:shd w:val="clear" w:color="auto" w:fill="auto"/>
            <w:tcMar>
              <w:top w:w="15" w:type="dxa"/>
              <w:left w:w="70" w:type="dxa"/>
              <w:bottom w:w="0" w:type="dxa"/>
              <w:right w:w="70" w:type="dxa"/>
            </w:tcMar>
            <w:vAlign w:val="center"/>
          </w:tcPr>
          <w:p w14:paraId="7231F770"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5.3</w:t>
            </w:r>
          </w:p>
        </w:tc>
        <w:tc>
          <w:tcPr>
            <w:tcW w:w="1134" w:type="dxa"/>
            <w:shd w:val="clear" w:color="auto" w:fill="auto"/>
            <w:tcMar>
              <w:top w:w="15" w:type="dxa"/>
              <w:left w:w="70" w:type="dxa"/>
              <w:bottom w:w="0" w:type="dxa"/>
              <w:right w:w="70" w:type="dxa"/>
            </w:tcMar>
            <w:vAlign w:val="center"/>
          </w:tcPr>
          <w:p w14:paraId="01EE6C37"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5.4</w:t>
            </w:r>
          </w:p>
        </w:tc>
        <w:tc>
          <w:tcPr>
            <w:tcW w:w="1275" w:type="dxa"/>
            <w:shd w:val="clear" w:color="auto" w:fill="auto"/>
            <w:tcMar>
              <w:top w:w="15" w:type="dxa"/>
              <w:left w:w="70" w:type="dxa"/>
              <w:bottom w:w="0" w:type="dxa"/>
              <w:right w:w="70" w:type="dxa"/>
            </w:tcMar>
            <w:vAlign w:val="center"/>
            <w:hideMark/>
          </w:tcPr>
          <w:p w14:paraId="32BA3C71"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+1.9%</w:t>
            </w:r>
          </w:p>
        </w:tc>
      </w:tr>
      <w:tr w:rsidR="00286810" w:rsidRPr="00066710" w14:paraId="66B5602F" w14:textId="77777777" w:rsidTr="004877F2">
        <w:tc>
          <w:tcPr>
            <w:tcW w:w="2967" w:type="dxa"/>
            <w:shd w:val="clear" w:color="auto" w:fill="auto"/>
            <w:tcMar>
              <w:top w:w="15" w:type="dxa"/>
              <w:left w:w="70" w:type="dxa"/>
              <w:bottom w:w="0" w:type="dxa"/>
              <w:right w:w="70" w:type="dxa"/>
            </w:tcMar>
            <w:vAlign w:val="center"/>
            <w:hideMark/>
          </w:tcPr>
          <w:p w14:paraId="77DF6FDF" w14:textId="77777777" w:rsidR="00286810" w:rsidRPr="00066710" w:rsidRDefault="00286810" w:rsidP="004877F2">
            <w:pPr>
              <w:pStyle w:val="Plattetekst"/>
              <w:rPr>
                <w:rFonts w:asciiTheme="minorHAnsi" w:hAnsiTheme="minorHAnsi" w:cstheme="minorHAnsi"/>
                <w:noProof w:val="0"/>
                <w:sz w:val="20"/>
              </w:rPr>
            </w:pPr>
            <w:r w:rsidRPr="00066710">
              <w:rPr>
                <w:rFonts w:asciiTheme="minorHAnsi" w:hAnsiTheme="minorHAnsi"/>
                <w:noProof w:val="0"/>
                <w:sz w:val="20"/>
              </w:rPr>
              <w:t>Kitchen furniture</w:t>
            </w:r>
          </w:p>
        </w:tc>
        <w:tc>
          <w:tcPr>
            <w:tcW w:w="851" w:type="dxa"/>
            <w:shd w:val="clear" w:color="auto" w:fill="auto"/>
            <w:tcMar>
              <w:top w:w="15" w:type="dxa"/>
              <w:left w:w="70" w:type="dxa"/>
              <w:bottom w:w="0" w:type="dxa"/>
              <w:right w:w="70" w:type="dxa"/>
            </w:tcMar>
            <w:vAlign w:val="center"/>
          </w:tcPr>
          <w:p w14:paraId="51D3A7BC"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20.8</w:t>
            </w:r>
          </w:p>
        </w:tc>
        <w:tc>
          <w:tcPr>
            <w:tcW w:w="850" w:type="dxa"/>
            <w:shd w:val="clear" w:color="auto" w:fill="auto"/>
            <w:tcMar>
              <w:top w:w="15" w:type="dxa"/>
              <w:left w:w="70" w:type="dxa"/>
              <w:bottom w:w="0" w:type="dxa"/>
              <w:right w:w="70" w:type="dxa"/>
            </w:tcMar>
            <w:vAlign w:val="center"/>
          </w:tcPr>
          <w:p w14:paraId="3FD6BC86"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17.5</w:t>
            </w:r>
          </w:p>
        </w:tc>
        <w:tc>
          <w:tcPr>
            <w:tcW w:w="992" w:type="dxa"/>
            <w:shd w:val="clear" w:color="auto" w:fill="auto"/>
            <w:tcMar>
              <w:top w:w="15" w:type="dxa"/>
              <w:left w:w="70" w:type="dxa"/>
              <w:bottom w:w="0" w:type="dxa"/>
              <w:right w:w="70" w:type="dxa"/>
            </w:tcMar>
            <w:vAlign w:val="center"/>
            <w:hideMark/>
          </w:tcPr>
          <w:p w14:paraId="2C0B49BB"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-15.9%</w:t>
            </w:r>
          </w:p>
        </w:tc>
        <w:tc>
          <w:tcPr>
            <w:tcW w:w="993" w:type="dxa"/>
            <w:shd w:val="clear" w:color="auto" w:fill="auto"/>
            <w:tcMar>
              <w:top w:w="15" w:type="dxa"/>
              <w:left w:w="70" w:type="dxa"/>
              <w:bottom w:w="0" w:type="dxa"/>
              <w:right w:w="70" w:type="dxa"/>
            </w:tcMar>
            <w:vAlign w:val="center"/>
          </w:tcPr>
          <w:p w14:paraId="481857BC"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8.2</w:t>
            </w:r>
          </w:p>
        </w:tc>
        <w:tc>
          <w:tcPr>
            <w:tcW w:w="1134" w:type="dxa"/>
            <w:shd w:val="clear" w:color="auto" w:fill="auto"/>
            <w:tcMar>
              <w:top w:w="15" w:type="dxa"/>
              <w:left w:w="70" w:type="dxa"/>
              <w:bottom w:w="0" w:type="dxa"/>
              <w:right w:w="70" w:type="dxa"/>
            </w:tcMar>
            <w:vAlign w:val="center"/>
          </w:tcPr>
          <w:p w14:paraId="68EAA81A"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7.8</w:t>
            </w:r>
          </w:p>
        </w:tc>
        <w:tc>
          <w:tcPr>
            <w:tcW w:w="1275" w:type="dxa"/>
            <w:shd w:val="clear" w:color="auto" w:fill="auto"/>
            <w:tcMar>
              <w:top w:w="15" w:type="dxa"/>
              <w:left w:w="70" w:type="dxa"/>
              <w:bottom w:w="0" w:type="dxa"/>
              <w:right w:w="70" w:type="dxa"/>
            </w:tcMar>
            <w:vAlign w:val="center"/>
            <w:hideMark/>
          </w:tcPr>
          <w:p w14:paraId="0D3FE15D"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-4.9%</w:t>
            </w:r>
          </w:p>
        </w:tc>
      </w:tr>
      <w:tr w:rsidR="00286810" w:rsidRPr="00066710" w14:paraId="49B3ED59" w14:textId="77777777" w:rsidTr="004877F2">
        <w:tc>
          <w:tcPr>
            <w:tcW w:w="2967" w:type="dxa"/>
            <w:shd w:val="clear" w:color="auto" w:fill="auto"/>
            <w:tcMar>
              <w:top w:w="15" w:type="dxa"/>
              <w:left w:w="70" w:type="dxa"/>
              <w:bottom w:w="0" w:type="dxa"/>
              <w:right w:w="70" w:type="dxa"/>
            </w:tcMar>
            <w:vAlign w:val="center"/>
            <w:hideMark/>
          </w:tcPr>
          <w:p w14:paraId="5737DC24" w14:textId="77777777" w:rsidR="00286810" w:rsidRPr="00066710" w:rsidRDefault="00286810" w:rsidP="004877F2">
            <w:pPr>
              <w:pStyle w:val="Plattetekst"/>
              <w:rPr>
                <w:rFonts w:asciiTheme="minorHAnsi" w:hAnsiTheme="minorHAnsi" w:cstheme="minorHAnsi"/>
                <w:noProof w:val="0"/>
                <w:sz w:val="20"/>
              </w:rPr>
            </w:pPr>
            <w:r w:rsidRPr="00066710">
              <w:rPr>
                <w:rFonts w:asciiTheme="minorHAnsi" w:hAnsiTheme="minorHAnsi"/>
                <w:noProof w:val="0"/>
                <w:sz w:val="20"/>
              </w:rPr>
              <w:t>Mattresses and bases</w:t>
            </w:r>
          </w:p>
        </w:tc>
        <w:tc>
          <w:tcPr>
            <w:tcW w:w="851" w:type="dxa"/>
            <w:shd w:val="clear" w:color="auto" w:fill="auto"/>
            <w:tcMar>
              <w:top w:w="15" w:type="dxa"/>
              <w:left w:w="70" w:type="dxa"/>
              <w:bottom w:w="0" w:type="dxa"/>
              <w:right w:w="70" w:type="dxa"/>
            </w:tcMar>
            <w:vAlign w:val="center"/>
          </w:tcPr>
          <w:p w14:paraId="15052E97"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8.2</w:t>
            </w:r>
          </w:p>
        </w:tc>
        <w:tc>
          <w:tcPr>
            <w:tcW w:w="850" w:type="dxa"/>
            <w:shd w:val="clear" w:color="auto" w:fill="auto"/>
            <w:tcMar>
              <w:top w:w="15" w:type="dxa"/>
              <w:left w:w="70" w:type="dxa"/>
              <w:bottom w:w="0" w:type="dxa"/>
              <w:right w:w="70" w:type="dxa"/>
            </w:tcMar>
            <w:vAlign w:val="center"/>
          </w:tcPr>
          <w:p w14:paraId="02D924B6"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6.8</w:t>
            </w:r>
          </w:p>
        </w:tc>
        <w:tc>
          <w:tcPr>
            <w:tcW w:w="992" w:type="dxa"/>
            <w:shd w:val="clear" w:color="auto" w:fill="auto"/>
            <w:tcMar>
              <w:top w:w="15" w:type="dxa"/>
              <w:left w:w="70" w:type="dxa"/>
              <w:bottom w:w="0" w:type="dxa"/>
              <w:right w:w="70" w:type="dxa"/>
            </w:tcMar>
            <w:vAlign w:val="center"/>
            <w:hideMark/>
          </w:tcPr>
          <w:p w14:paraId="5F620307"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-17.1%</w:t>
            </w:r>
          </w:p>
        </w:tc>
        <w:tc>
          <w:tcPr>
            <w:tcW w:w="993" w:type="dxa"/>
            <w:shd w:val="clear" w:color="auto" w:fill="auto"/>
            <w:tcMar>
              <w:top w:w="15" w:type="dxa"/>
              <w:left w:w="70" w:type="dxa"/>
              <w:bottom w:w="0" w:type="dxa"/>
              <w:right w:w="70" w:type="dxa"/>
            </w:tcMar>
            <w:vAlign w:val="center"/>
          </w:tcPr>
          <w:p w14:paraId="4E1B0421"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4.0</w:t>
            </w:r>
          </w:p>
        </w:tc>
        <w:tc>
          <w:tcPr>
            <w:tcW w:w="1134" w:type="dxa"/>
            <w:shd w:val="clear" w:color="auto" w:fill="auto"/>
            <w:tcMar>
              <w:top w:w="15" w:type="dxa"/>
              <w:left w:w="70" w:type="dxa"/>
              <w:bottom w:w="0" w:type="dxa"/>
              <w:right w:w="70" w:type="dxa"/>
            </w:tcMar>
            <w:vAlign w:val="center"/>
          </w:tcPr>
          <w:p w14:paraId="7D7A35A2" w14:textId="77777777" w:rsidR="00286810" w:rsidRPr="00066710" w:rsidRDefault="00286810" w:rsidP="004877F2">
            <w:pPr>
              <w:pStyle w:val="Plattetekst"/>
              <w:jc w:val="right"/>
              <w:rPr>
                <w:rFonts w:asciiTheme="minorHAnsi" w:hAnsiTheme="minorHAnsi" w:cstheme="minorHAnsi"/>
                <w:noProof w:val="0"/>
                <w:sz w:val="20"/>
              </w:rPr>
            </w:pPr>
            <w:r w:rsidRPr="00066710">
              <w:rPr>
                <w:rFonts w:asciiTheme="minorHAnsi" w:hAnsiTheme="minorHAnsi"/>
                <w:noProof w:val="0"/>
                <w:sz w:val="20"/>
              </w:rPr>
              <w:t>5.2</w:t>
            </w:r>
          </w:p>
        </w:tc>
        <w:tc>
          <w:tcPr>
            <w:tcW w:w="1275" w:type="dxa"/>
            <w:shd w:val="clear" w:color="auto" w:fill="auto"/>
            <w:tcMar>
              <w:top w:w="15" w:type="dxa"/>
              <w:left w:w="70" w:type="dxa"/>
              <w:bottom w:w="0" w:type="dxa"/>
              <w:right w:w="70" w:type="dxa"/>
            </w:tcMar>
            <w:vAlign w:val="center"/>
            <w:hideMark/>
          </w:tcPr>
          <w:p w14:paraId="54688B46"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+30.0%</w:t>
            </w:r>
          </w:p>
        </w:tc>
      </w:tr>
      <w:tr w:rsidR="00286810" w:rsidRPr="00066710" w14:paraId="2DB3176C" w14:textId="77777777" w:rsidTr="004877F2">
        <w:tc>
          <w:tcPr>
            <w:tcW w:w="2967" w:type="dxa"/>
            <w:shd w:val="clear" w:color="auto" w:fill="FFC000"/>
            <w:tcMar>
              <w:top w:w="15" w:type="dxa"/>
              <w:left w:w="70" w:type="dxa"/>
              <w:bottom w:w="0" w:type="dxa"/>
              <w:right w:w="70" w:type="dxa"/>
            </w:tcMar>
            <w:vAlign w:val="center"/>
            <w:hideMark/>
          </w:tcPr>
          <w:p w14:paraId="16A53EE9" w14:textId="77777777" w:rsidR="00286810" w:rsidRPr="00066710" w:rsidRDefault="00286810" w:rsidP="004877F2">
            <w:pPr>
              <w:pStyle w:val="Plattetekst"/>
              <w:rPr>
                <w:rFonts w:asciiTheme="minorHAnsi" w:hAnsiTheme="minorHAnsi" w:cstheme="minorHAnsi"/>
                <w:b/>
                <w:noProof w:val="0"/>
                <w:sz w:val="20"/>
              </w:rPr>
            </w:pPr>
            <w:r w:rsidRPr="00066710">
              <w:rPr>
                <w:rFonts w:asciiTheme="minorHAnsi" w:hAnsiTheme="minorHAnsi"/>
                <w:b/>
                <w:noProof w:val="0"/>
                <w:sz w:val="20"/>
              </w:rPr>
              <w:t xml:space="preserve">Total for furniture industry </w:t>
            </w:r>
          </w:p>
        </w:tc>
        <w:tc>
          <w:tcPr>
            <w:tcW w:w="851" w:type="dxa"/>
            <w:shd w:val="clear" w:color="auto" w:fill="FFC000"/>
            <w:tcMar>
              <w:top w:w="15" w:type="dxa"/>
              <w:left w:w="70" w:type="dxa"/>
              <w:bottom w:w="0" w:type="dxa"/>
              <w:right w:w="70" w:type="dxa"/>
            </w:tcMar>
            <w:vAlign w:val="center"/>
          </w:tcPr>
          <w:p w14:paraId="5C6B205F"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73.4</w:t>
            </w:r>
          </w:p>
        </w:tc>
        <w:tc>
          <w:tcPr>
            <w:tcW w:w="850" w:type="dxa"/>
            <w:shd w:val="clear" w:color="auto" w:fill="FFC000"/>
            <w:tcMar>
              <w:top w:w="15" w:type="dxa"/>
              <w:left w:w="70" w:type="dxa"/>
              <w:bottom w:w="0" w:type="dxa"/>
              <w:right w:w="70" w:type="dxa"/>
            </w:tcMar>
            <w:vAlign w:val="center"/>
          </w:tcPr>
          <w:p w14:paraId="14C5D167"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74.5</w:t>
            </w:r>
          </w:p>
        </w:tc>
        <w:tc>
          <w:tcPr>
            <w:tcW w:w="992" w:type="dxa"/>
            <w:shd w:val="clear" w:color="auto" w:fill="FFC000"/>
            <w:tcMar>
              <w:top w:w="15" w:type="dxa"/>
              <w:left w:w="70" w:type="dxa"/>
              <w:bottom w:w="0" w:type="dxa"/>
              <w:right w:w="70" w:type="dxa"/>
            </w:tcMar>
            <w:vAlign w:val="center"/>
            <w:hideMark/>
          </w:tcPr>
          <w:p w14:paraId="03FF1DAF"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+1.5%</w:t>
            </w:r>
          </w:p>
        </w:tc>
        <w:tc>
          <w:tcPr>
            <w:tcW w:w="993" w:type="dxa"/>
            <w:shd w:val="clear" w:color="auto" w:fill="FFC000"/>
            <w:tcMar>
              <w:top w:w="15" w:type="dxa"/>
              <w:left w:w="70" w:type="dxa"/>
              <w:bottom w:w="0" w:type="dxa"/>
              <w:right w:w="70" w:type="dxa"/>
            </w:tcMar>
            <w:vAlign w:val="center"/>
          </w:tcPr>
          <w:p w14:paraId="6D227E11"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38.0</w:t>
            </w:r>
          </w:p>
        </w:tc>
        <w:tc>
          <w:tcPr>
            <w:tcW w:w="1134" w:type="dxa"/>
            <w:shd w:val="clear" w:color="auto" w:fill="FFC000"/>
            <w:tcMar>
              <w:top w:w="15" w:type="dxa"/>
              <w:left w:w="70" w:type="dxa"/>
              <w:bottom w:w="0" w:type="dxa"/>
              <w:right w:w="70" w:type="dxa"/>
            </w:tcMar>
            <w:vAlign w:val="center"/>
          </w:tcPr>
          <w:p w14:paraId="5F4B348E"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37.5</w:t>
            </w:r>
          </w:p>
        </w:tc>
        <w:tc>
          <w:tcPr>
            <w:tcW w:w="1275" w:type="dxa"/>
            <w:shd w:val="clear" w:color="auto" w:fill="FFC000"/>
            <w:tcMar>
              <w:top w:w="15" w:type="dxa"/>
              <w:left w:w="70" w:type="dxa"/>
              <w:bottom w:w="0" w:type="dxa"/>
              <w:right w:w="70" w:type="dxa"/>
            </w:tcMar>
            <w:vAlign w:val="center"/>
            <w:hideMark/>
          </w:tcPr>
          <w:p w14:paraId="632C1874" w14:textId="77777777" w:rsidR="00286810" w:rsidRPr="00066710" w:rsidRDefault="00286810" w:rsidP="004877F2">
            <w:pPr>
              <w:pStyle w:val="Plattetekst"/>
              <w:jc w:val="right"/>
              <w:rPr>
                <w:rFonts w:asciiTheme="minorHAnsi" w:hAnsiTheme="minorHAnsi" w:cstheme="minorHAnsi"/>
                <w:b/>
                <w:noProof w:val="0"/>
                <w:sz w:val="20"/>
              </w:rPr>
            </w:pPr>
            <w:r w:rsidRPr="00066710">
              <w:rPr>
                <w:rFonts w:asciiTheme="minorHAnsi" w:hAnsiTheme="minorHAnsi"/>
                <w:b/>
                <w:noProof w:val="0"/>
                <w:sz w:val="20"/>
              </w:rPr>
              <w:t>-1.3%</w:t>
            </w:r>
          </w:p>
        </w:tc>
      </w:tr>
    </w:tbl>
    <w:p w14:paraId="4A9658AF" w14:textId="77777777" w:rsidR="00286810" w:rsidRPr="00066710" w:rsidRDefault="00286810" w:rsidP="00286810">
      <w:pPr>
        <w:pStyle w:val="Plattetekst"/>
        <w:tabs>
          <w:tab w:val="clear" w:pos="3884"/>
          <w:tab w:val="left" w:pos="567"/>
        </w:tabs>
        <w:rPr>
          <w:rFonts w:asciiTheme="minorHAnsi" w:hAnsiTheme="minorHAnsi" w:cstheme="minorHAnsi"/>
          <w:noProof w:val="0"/>
          <w:sz w:val="16"/>
          <w:szCs w:val="16"/>
        </w:rPr>
      </w:pPr>
      <w:r w:rsidRPr="00066710">
        <w:rPr>
          <w:rFonts w:asciiTheme="minorHAnsi" w:hAnsiTheme="minorHAnsi"/>
          <w:noProof w:val="0"/>
          <w:sz w:val="16"/>
        </w:rPr>
        <w:t xml:space="preserve">Source: FPS Economy, VAT returns </w:t>
      </w:r>
    </w:p>
    <w:p w14:paraId="04D5123C" w14:textId="77777777" w:rsidR="00286810" w:rsidRPr="00066710" w:rsidRDefault="00286810" w:rsidP="00286810">
      <w:pPr>
        <w:pStyle w:val="Plattetekst"/>
        <w:tabs>
          <w:tab w:val="clear" w:pos="3884"/>
          <w:tab w:val="left" w:pos="567"/>
        </w:tabs>
        <w:rPr>
          <w:rFonts w:asciiTheme="minorHAnsi" w:hAnsiTheme="minorHAnsi" w:cstheme="minorHAnsi"/>
          <w:noProof w:val="0"/>
          <w:sz w:val="18"/>
          <w:szCs w:val="18"/>
        </w:rPr>
      </w:pPr>
      <w:r w:rsidRPr="00066710">
        <w:rPr>
          <w:rFonts w:asciiTheme="minorHAnsi" w:hAnsiTheme="minorHAnsi"/>
          <w:noProof w:val="0"/>
          <w:sz w:val="18"/>
        </w:rPr>
        <w:t>* Provisional data</w:t>
      </w:r>
    </w:p>
    <w:p w14:paraId="7D294768" w14:textId="77777777" w:rsidR="00286810" w:rsidRPr="00066710" w:rsidRDefault="00286810" w:rsidP="00286810">
      <w:pPr>
        <w:pStyle w:val="Plattetekst"/>
        <w:tabs>
          <w:tab w:val="clear" w:pos="3884"/>
          <w:tab w:val="left" w:pos="567"/>
        </w:tabs>
        <w:rPr>
          <w:rFonts w:asciiTheme="minorHAnsi" w:hAnsiTheme="minorHAnsi" w:cstheme="minorHAnsi"/>
          <w:noProof w:val="0"/>
          <w:sz w:val="18"/>
          <w:szCs w:val="18"/>
        </w:rPr>
      </w:pPr>
    </w:p>
    <w:p w14:paraId="33A56927"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The production capacity utilisation rate in the Belgian furniture industry remains high even in difficult times and even reached 89% in the second quarter of 2022.</w:t>
      </w:r>
    </w:p>
    <w:p w14:paraId="6BBFC71F" w14:textId="77777777" w:rsidR="00286810" w:rsidRPr="00286810" w:rsidRDefault="00286810" w:rsidP="00286810">
      <w:pPr>
        <w:pStyle w:val="Plattetekst"/>
        <w:rPr>
          <w:rFonts w:asciiTheme="minorHAnsi" w:hAnsiTheme="minorHAnsi" w:cstheme="minorHAnsi"/>
          <w:noProof w:val="0"/>
          <w:szCs w:val="22"/>
          <w:lang w:val="en-US"/>
        </w:rPr>
      </w:pPr>
    </w:p>
    <w:p w14:paraId="3746D4D1" w14:textId="77777777" w:rsidR="00286810" w:rsidRPr="00286810" w:rsidRDefault="00286810" w:rsidP="00286810">
      <w:pPr>
        <w:pStyle w:val="Plattetekst"/>
        <w:jc w:val="center"/>
        <w:rPr>
          <w:rFonts w:asciiTheme="minorHAnsi" w:hAnsiTheme="minorHAnsi" w:cstheme="minorBidi"/>
          <w:noProof w:val="0"/>
          <w:sz w:val="18"/>
          <w:szCs w:val="16"/>
          <w:lang w:val="en-US"/>
        </w:rPr>
      </w:pPr>
      <w:r w:rsidRPr="00286810">
        <w:rPr>
          <w:rFonts w:asciiTheme="minorHAnsi" w:hAnsiTheme="minorHAnsi"/>
          <w:b/>
          <w:bCs/>
          <w:noProof w:val="0"/>
          <w:sz w:val="24"/>
          <w:szCs w:val="24"/>
          <w:lang w:val="en-US"/>
        </w:rPr>
        <w:lastRenderedPageBreak/>
        <w:t>The Belgian furniture industry's production capacity utilisation rate</w:t>
      </w:r>
      <w:r w:rsidRPr="00066710">
        <w:rPr>
          <w:rFonts w:asciiTheme="minorHAnsi" w:hAnsiTheme="minorHAnsi"/>
          <w:sz w:val="10"/>
          <w:szCs w:val="22"/>
        </w:rPr>
        <w:drawing>
          <wp:inline distT="0" distB="0" distL="0" distR="0" wp14:anchorId="6458FABC" wp14:editId="4497FBA7">
            <wp:extent cx="6195060" cy="2613025"/>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5F26C6" w14:textId="77777777" w:rsidR="00286810" w:rsidRPr="00286810" w:rsidRDefault="00286810" w:rsidP="00286810">
      <w:pPr>
        <w:pStyle w:val="Plattetekst"/>
        <w:tabs>
          <w:tab w:val="clear" w:pos="3884"/>
        </w:tabs>
        <w:jc w:val="left"/>
        <w:rPr>
          <w:rFonts w:asciiTheme="minorHAnsi" w:hAnsiTheme="minorHAnsi" w:cstheme="minorHAnsi"/>
          <w:noProof w:val="0"/>
          <w:sz w:val="16"/>
          <w:szCs w:val="22"/>
          <w:lang w:val="en-US"/>
        </w:rPr>
      </w:pPr>
      <w:r w:rsidRPr="00286810">
        <w:rPr>
          <w:rFonts w:asciiTheme="minorHAnsi" w:hAnsiTheme="minorHAnsi"/>
          <w:noProof w:val="0"/>
          <w:sz w:val="16"/>
          <w:szCs w:val="22"/>
          <w:lang w:val="en-US"/>
        </w:rPr>
        <w:tab/>
      </w:r>
      <w:r w:rsidRPr="00286810">
        <w:rPr>
          <w:rFonts w:asciiTheme="minorHAnsi" w:hAnsiTheme="minorHAnsi"/>
          <w:noProof w:val="0"/>
          <w:sz w:val="16"/>
          <w:lang w:val="en-US"/>
        </w:rPr>
        <w:t>Source: National Bank of Belgium</w:t>
      </w:r>
    </w:p>
    <w:p w14:paraId="645F5364" w14:textId="77777777" w:rsidR="00286810" w:rsidRPr="00286810" w:rsidRDefault="00286810" w:rsidP="00286810">
      <w:pPr>
        <w:pStyle w:val="Plattetekst"/>
        <w:rPr>
          <w:rFonts w:asciiTheme="minorHAnsi" w:hAnsiTheme="minorHAnsi" w:cstheme="minorHAnsi"/>
          <w:noProof w:val="0"/>
          <w:szCs w:val="22"/>
          <w:highlight w:val="yellow"/>
          <w:lang w:val="en-US"/>
        </w:rPr>
      </w:pPr>
    </w:p>
    <w:p w14:paraId="380F1EE3" w14:textId="77777777" w:rsidR="00286810" w:rsidRPr="00286810" w:rsidRDefault="00286810" w:rsidP="00286810">
      <w:pPr>
        <w:pStyle w:val="Plattetekst"/>
        <w:rPr>
          <w:rFonts w:asciiTheme="minorHAnsi" w:hAnsiTheme="minorHAnsi" w:cstheme="minorHAnsi"/>
          <w:b/>
          <w:bCs/>
          <w:noProof w:val="0"/>
          <w:u w:val="single"/>
          <w:lang w:val="en-US"/>
        </w:rPr>
      </w:pPr>
      <w:r w:rsidRPr="00286810">
        <w:rPr>
          <w:rFonts w:asciiTheme="minorHAnsi" w:hAnsiTheme="minorHAnsi"/>
          <w:b/>
          <w:noProof w:val="0"/>
          <w:u w:val="single"/>
          <w:lang w:val="en-US"/>
        </w:rPr>
        <w:t>Employment in the Belgian furniture sector</w:t>
      </w:r>
    </w:p>
    <w:p w14:paraId="3720B219" w14:textId="77777777" w:rsidR="00286810" w:rsidRPr="00286810" w:rsidRDefault="00286810" w:rsidP="00286810">
      <w:pPr>
        <w:pStyle w:val="Plattetekst"/>
        <w:rPr>
          <w:rFonts w:asciiTheme="minorHAnsi" w:hAnsiTheme="minorHAnsi" w:cstheme="minorHAnsi"/>
          <w:noProof w:val="0"/>
          <w:lang w:val="en-US"/>
        </w:rPr>
      </w:pPr>
    </w:p>
    <w:p w14:paraId="7C5D356E"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719 companies employed 9,824 employees in 2021,  82 less than in 2020. Therefore, in spite of the corona crisis, and thanks in part to the system of temporary unemployment, the employment level remained fairly good.</w:t>
      </w:r>
    </w:p>
    <w:p w14:paraId="1ED7C0B0" w14:textId="77777777" w:rsidR="00286810" w:rsidRPr="00286810" w:rsidRDefault="00286810" w:rsidP="00286810">
      <w:pPr>
        <w:pStyle w:val="Plattetekst"/>
        <w:rPr>
          <w:rFonts w:asciiTheme="minorHAnsi" w:hAnsiTheme="minorHAnsi" w:cstheme="minorHAnsi"/>
          <w:noProof w:val="0"/>
          <w:szCs w:val="22"/>
          <w:lang w:val="en-US"/>
        </w:rPr>
      </w:pPr>
    </w:p>
    <w:p w14:paraId="5607E000" w14:textId="77777777" w:rsidR="00286810" w:rsidRPr="00286810" w:rsidRDefault="00286810" w:rsidP="00286810">
      <w:pPr>
        <w:pStyle w:val="Plattetekst"/>
        <w:spacing w:line="259" w:lineRule="auto"/>
        <w:rPr>
          <w:rFonts w:asciiTheme="minorHAnsi" w:hAnsiTheme="minorHAnsi" w:cstheme="minorBidi"/>
          <w:noProof w:val="0"/>
          <w:lang w:val="en-US"/>
        </w:rPr>
      </w:pPr>
      <w:r w:rsidRPr="00286810">
        <w:rPr>
          <w:rFonts w:asciiTheme="minorHAnsi" w:hAnsiTheme="minorHAnsi"/>
          <w:noProof w:val="0"/>
          <w:lang w:val="en-US"/>
        </w:rPr>
        <w:t>However, companies in the furniture sector remain permanently on the lookout for technically skilled workers to compensate for the outflow of older workers.</w:t>
      </w:r>
    </w:p>
    <w:p w14:paraId="07294575" w14:textId="77777777" w:rsidR="00286810" w:rsidRPr="00286810" w:rsidRDefault="00286810" w:rsidP="00286810">
      <w:pPr>
        <w:rPr>
          <w:rFonts w:cstheme="minorHAnsi"/>
          <w:lang w:val="en-US"/>
        </w:rPr>
      </w:pPr>
      <w:r w:rsidRPr="00286810">
        <w:rPr>
          <w:lang w:val="en-US"/>
        </w:rPr>
        <w:br w:type="page"/>
      </w:r>
    </w:p>
    <w:p w14:paraId="03F1CEBD" w14:textId="77777777" w:rsidR="00286810" w:rsidRPr="00286810" w:rsidRDefault="00286810" w:rsidP="00286810">
      <w:pPr>
        <w:pStyle w:val="Plattetekst"/>
        <w:rPr>
          <w:rFonts w:asciiTheme="minorHAnsi" w:hAnsiTheme="minorHAnsi"/>
          <w:b/>
          <w:bCs/>
          <w:noProof w:val="0"/>
          <w:u w:val="single"/>
          <w:lang w:val="en-US"/>
        </w:rPr>
      </w:pPr>
      <w:r w:rsidRPr="00286810">
        <w:rPr>
          <w:rFonts w:asciiTheme="minorHAnsi" w:hAnsiTheme="minorHAnsi"/>
          <w:b/>
          <w:bCs/>
          <w:noProof w:val="0"/>
          <w:u w:val="single"/>
          <w:lang w:val="en-US"/>
        </w:rPr>
        <w:lastRenderedPageBreak/>
        <w:t>Consumer confidence reaches a historic low</w:t>
      </w:r>
    </w:p>
    <w:p w14:paraId="6E94E43A" w14:textId="77777777" w:rsidR="00286810" w:rsidRPr="00286810" w:rsidRDefault="00286810" w:rsidP="00286810">
      <w:pPr>
        <w:pStyle w:val="Plattetekst"/>
        <w:rPr>
          <w:rFonts w:asciiTheme="minorHAnsi" w:hAnsiTheme="minorHAnsi" w:cstheme="minorHAnsi"/>
          <w:noProof w:val="0"/>
          <w:lang w:val="en-US"/>
        </w:rPr>
      </w:pPr>
    </w:p>
    <w:p w14:paraId="61046E6B"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Belgian and European consumer confidence fell to an all-time  low in September 2022. The sharp rise in inflation, soaring energy prices and continued uncertainty due to the war in Ukraine are certainly not unrelated to this. As a result, however, consumers are  tightening the purse strings and taking a wait-and-see approach when it comes to purchasing furniture and interior design. The implications for the market are easy to predict.</w:t>
      </w:r>
    </w:p>
    <w:p w14:paraId="020CE7B3" w14:textId="77777777" w:rsidR="00286810" w:rsidRPr="00286810" w:rsidRDefault="00286810" w:rsidP="00286810">
      <w:pPr>
        <w:pStyle w:val="Plattetekst"/>
        <w:rPr>
          <w:rFonts w:asciiTheme="minorHAnsi" w:hAnsiTheme="minorHAnsi" w:cstheme="minorHAnsi"/>
          <w:noProof w:val="0"/>
          <w:lang w:val="en-US"/>
        </w:rPr>
      </w:pPr>
    </w:p>
    <w:p w14:paraId="442175ED" w14:textId="77777777" w:rsidR="00286810" w:rsidRPr="00286810" w:rsidRDefault="00286810" w:rsidP="00286810">
      <w:pPr>
        <w:pStyle w:val="Plattetekst"/>
        <w:rPr>
          <w:rFonts w:asciiTheme="minorHAnsi" w:hAnsiTheme="minorHAnsi" w:cstheme="minorHAnsi"/>
          <w:noProof w:val="0"/>
          <w:sz w:val="6"/>
          <w:szCs w:val="4"/>
          <w:lang w:val="en-US"/>
        </w:rPr>
      </w:pPr>
    </w:p>
    <w:p w14:paraId="52B5CBE8" w14:textId="77777777" w:rsidR="00286810" w:rsidRPr="00286810" w:rsidRDefault="00286810" w:rsidP="00286810">
      <w:pPr>
        <w:pStyle w:val="Plattetekst"/>
        <w:jc w:val="center"/>
        <w:rPr>
          <w:rFonts w:asciiTheme="minorHAnsi" w:hAnsiTheme="minorHAnsi" w:cstheme="minorHAnsi"/>
          <w:b/>
          <w:bCs/>
          <w:noProof w:val="0"/>
          <w:sz w:val="20"/>
          <w:lang w:val="en-US"/>
        </w:rPr>
      </w:pPr>
      <w:r w:rsidRPr="00286810">
        <w:rPr>
          <w:rFonts w:asciiTheme="minorHAnsi" w:hAnsiTheme="minorHAnsi"/>
          <w:b/>
          <w:noProof w:val="0"/>
          <w:sz w:val="20"/>
          <w:lang w:val="en-US"/>
        </w:rPr>
        <w:t>Development of consumer confidence in Belgium and the EU</w:t>
      </w:r>
    </w:p>
    <w:p w14:paraId="235C66B7" w14:textId="77777777" w:rsidR="00286810" w:rsidRPr="00066710" w:rsidRDefault="00286810" w:rsidP="00286810">
      <w:pPr>
        <w:pStyle w:val="Plattetekst"/>
        <w:jc w:val="center"/>
        <w:rPr>
          <w:rFonts w:asciiTheme="minorHAnsi" w:hAnsiTheme="minorHAnsi" w:cstheme="minorBidi"/>
          <w:b/>
          <w:bCs/>
          <w:noProof w:val="0"/>
          <w:sz w:val="24"/>
          <w:szCs w:val="24"/>
        </w:rPr>
      </w:pPr>
      <w:r w:rsidRPr="00066710">
        <w:rPr>
          <w:rFonts w:asciiTheme="minorHAnsi" w:hAnsiTheme="minorHAnsi"/>
          <w:b/>
          <w:bCs/>
          <w:sz w:val="24"/>
          <w:szCs w:val="24"/>
        </w:rPr>
        <w:drawing>
          <wp:inline distT="0" distB="0" distL="0" distR="0" wp14:anchorId="159E0B17" wp14:editId="6B1C2787">
            <wp:extent cx="5967873" cy="3106272"/>
            <wp:effectExtent l="0" t="0" r="0" b="0"/>
            <wp:docPr id="6" name="Image 5" descr="Chart&#10;&#10;Description automatically generated">
              <a:extLst xmlns:a="http://schemas.openxmlformats.org/drawingml/2006/main">
                <a:ext uri="{FF2B5EF4-FFF2-40B4-BE49-F238E27FC236}">
                  <a16:creationId xmlns:a16="http://schemas.microsoft.com/office/drawing/2014/main" id="{8588426D-BE5C-D74E-0105-39913AD51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Chart&#10;&#10;Description automatically generated">
                      <a:extLst>
                        <a:ext uri="{FF2B5EF4-FFF2-40B4-BE49-F238E27FC236}">
                          <a16:creationId xmlns:a16="http://schemas.microsoft.com/office/drawing/2014/main" id="{8588426D-BE5C-D74E-0105-39913AD519B4}"/>
                        </a:ext>
                      </a:extLst>
                    </pic:cNvPr>
                    <pic:cNvPicPr>
                      <a:picLocks noChangeAspect="1"/>
                    </pic:cNvPicPr>
                  </pic:nvPicPr>
                  <pic:blipFill rotWithShape="1">
                    <a:blip r:embed="rId9"/>
                    <a:srcRect t="10505"/>
                    <a:stretch/>
                  </pic:blipFill>
                  <pic:spPr bwMode="auto">
                    <a:xfrm>
                      <a:off x="0" y="0"/>
                      <a:ext cx="5995603" cy="3120706"/>
                    </a:xfrm>
                    <a:prstGeom prst="rect">
                      <a:avLst/>
                    </a:prstGeom>
                    <a:ln>
                      <a:noFill/>
                    </a:ln>
                    <a:extLst>
                      <a:ext uri="{53640926-AAD7-44D8-BBD7-CCE9431645EC}">
                        <a14:shadowObscured xmlns:a14="http://schemas.microsoft.com/office/drawing/2010/main"/>
                      </a:ext>
                    </a:extLst>
                  </pic:spPr>
                </pic:pic>
              </a:graphicData>
            </a:graphic>
          </wp:inline>
        </w:drawing>
      </w:r>
    </w:p>
    <w:p w14:paraId="2ADD2F62" w14:textId="77777777" w:rsidR="00286810" w:rsidRPr="00286810" w:rsidRDefault="00286810" w:rsidP="00286810">
      <w:pPr>
        <w:pStyle w:val="Plattetekst"/>
        <w:ind w:firstLine="284"/>
        <w:rPr>
          <w:rFonts w:asciiTheme="minorHAnsi" w:hAnsiTheme="minorHAnsi" w:cstheme="minorHAnsi"/>
          <w:noProof w:val="0"/>
          <w:sz w:val="16"/>
          <w:szCs w:val="16"/>
          <w:lang w:val="en-US"/>
        </w:rPr>
      </w:pPr>
      <w:r w:rsidRPr="00286810">
        <w:rPr>
          <w:rFonts w:asciiTheme="minorHAnsi" w:hAnsiTheme="minorHAnsi"/>
          <w:noProof w:val="0"/>
          <w:sz w:val="16"/>
          <w:lang w:val="en-US"/>
        </w:rPr>
        <w:t>Source: European Commission</w:t>
      </w:r>
    </w:p>
    <w:p w14:paraId="026F7F39" w14:textId="77777777" w:rsidR="00286810" w:rsidRPr="00286810" w:rsidRDefault="00286810" w:rsidP="00286810">
      <w:pPr>
        <w:pStyle w:val="Plattetekst"/>
        <w:rPr>
          <w:rFonts w:asciiTheme="minorHAnsi" w:hAnsiTheme="minorHAnsi" w:cstheme="minorHAnsi"/>
          <w:noProof w:val="0"/>
          <w:lang w:val="en-US"/>
        </w:rPr>
      </w:pPr>
    </w:p>
    <w:p w14:paraId="0A705F2A" w14:textId="77777777" w:rsidR="00286810" w:rsidRPr="00286810" w:rsidRDefault="00286810" w:rsidP="00286810">
      <w:pPr>
        <w:pStyle w:val="Plattetekst"/>
        <w:rPr>
          <w:rFonts w:asciiTheme="minorHAnsi" w:hAnsiTheme="minorHAnsi" w:cstheme="minorHAnsi"/>
          <w:b/>
          <w:noProof w:val="0"/>
          <w:u w:val="single"/>
          <w:lang w:val="en-US"/>
        </w:rPr>
      </w:pPr>
      <w:r w:rsidRPr="00286810">
        <w:rPr>
          <w:rFonts w:asciiTheme="minorHAnsi" w:hAnsiTheme="minorHAnsi"/>
          <w:b/>
          <w:noProof w:val="0"/>
          <w:u w:val="single"/>
          <w:lang w:val="en-US"/>
        </w:rPr>
        <w:t xml:space="preserve">Falling order rate in the furniture trade </w:t>
      </w:r>
    </w:p>
    <w:p w14:paraId="13FF7D3E" w14:textId="77777777" w:rsidR="00286810" w:rsidRPr="00286810" w:rsidRDefault="00286810" w:rsidP="00286810">
      <w:pPr>
        <w:pStyle w:val="Plattetekst"/>
        <w:rPr>
          <w:rFonts w:asciiTheme="minorHAnsi" w:hAnsiTheme="minorHAnsi" w:cstheme="minorHAnsi"/>
          <w:b/>
          <w:noProof w:val="0"/>
          <w:lang w:val="en-US"/>
        </w:rPr>
      </w:pPr>
    </w:p>
    <w:p w14:paraId="4B7479B9"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According to the monthly survey by the National Bank of Belgium, orders received in the Belgian furniture trade decreased by 4.3% altogether during the first 8 months of 2022. Only in January and April were positive figures able to be recorded. The summer sales also fared rather negatively. This is most likely due to the energy crisis and uncertainty caused by the war in Ukraine, but equally due to changed spending patterns after the end of the corona measures.</w:t>
      </w:r>
    </w:p>
    <w:p w14:paraId="4E6E805E" w14:textId="77777777" w:rsidR="00286810" w:rsidRPr="00286810" w:rsidRDefault="00286810" w:rsidP="00286810">
      <w:pPr>
        <w:rPr>
          <w:rFonts w:cstheme="minorHAnsi"/>
          <w:highlight w:val="yellow"/>
          <w:lang w:val="en-US"/>
        </w:rPr>
      </w:pPr>
    </w:p>
    <w:p w14:paraId="003F6354" w14:textId="77777777" w:rsidR="00286810" w:rsidRPr="00066710" w:rsidRDefault="00286810" w:rsidP="00286810">
      <w:pPr>
        <w:pStyle w:val="Plattetekst"/>
        <w:jc w:val="left"/>
        <w:rPr>
          <w:rFonts w:asciiTheme="minorHAnsi" w:hAnsiTheme="minorHAnsi" w:cstheme="minorHAnsi"/>
          <w:noProof w:val="0"/>
          <w:highlight w:val="yellow"/>
        </w:rPr>
      </w:pPr>
      <w:r w:rsidRPr="00066710">
        <w:rPr>
          <w:rFonts w:asciiTheme="minorHAnsi" w:hAnsiTheme="minorHAnsi"/>
          <w:highlight w:val="yellow"/>
        </w:rPr>
        <mc:AlternateContent>
          <mc:Choice Requires="wps">
            <w:drawing>
              <wp:anchor distT="0" distB="0" distL="114300" distR="114300" simplePos="0" relativeHeight="251659264" behindDoc="0" locked="0" layoutInCell="1" allowOverlap="1" wp14:anchorId="32254C65" wp14:editId="5BF09D53">
                <wp:simplePos x="0" y="0"/>
                <wp:positionH relativeFrom="margin">
                  <wp:posOffset>1863699</wp:posOffset>
                </wp:positionH>
                <wp:positionV relativeFrom="paragraph">
                  <wp:posOffset>271603</wp:posOffset>
                </wp:positionV>
                <wp:extent cx="3862425" cy="520700"/>
                <wp:effectExtent l="0" t="0" r="0" b="0"/>
                <wp:wrapNone/>
                <wp:docPr id="8" name="Titel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2425" cy="520700"/>
                        </a:xfrm>
                        <a:prstGeom prst="rect">
                          <a:avLst/>
                        </a:prstGeom>
                      </wps:spPr>
                      <wps:txbx>
                        <w:txbxContent>
                          <w:p w14:paraId="2A52CA0A" w14:textId="77777777" w:rsidR="00286810" w:rsidRPr="00172119" w:rsidRDefault="00286810" w:rsidP="00286810">
                            <w:pPr>
                              <w:pStyle w:val="Normaalweb"/>
                              <w:kinsoku w:val="0"/>
                              <w:overflowPunct w:val="0"/>
                              <w:spacing w:before="0" w:beforeAutospacing="0" w:after="0" w:afterAutospacing="0"/>
                              <w:jc w:val="center"/>
                              <w:textAlignment w:val="baseline"/>
                              <w:rPr>
                                <w:sz w:val="12"/>
                                <w:szCs w:val="20"/>
                                <w:lang w:val="en-US"/>
                              </w:rPr>
                            </w:pPr>
                            <w:r w:rsidRPr="00172119">
                              <w:rPr>
                                <w:rFonts w:ascii="Calibri" w:hAnsi="Calibri"/>
                                <w:b/>
                                <w:color w:val="2D3721"/>
                                <w:sz w:val="20"/>
                                <w:lang w:val="en-US"/>
                              </w:rPr>
                              <w:t>Furniture industry orders received over time</w:t>
                            </w:r>
                          </w:p>
                          <w:p w14:paraId="451DA166" w14:textId="77777777" w:rsidR="00286810" w:rsidRPr="00350FF0" w:rsidRDefault="00286810" w:rsidP="00286810">
                            <w:pPr>
                              <w:pStyle w:val="Normaalweb"/>
                              <w:kinsoku w:val="0"/>
                              <w:overflowPunct w:val="0"/>
                              <w:spacing w:before="0" w:beforeAutospacing="0" w:after="0" w:afterAutospacing="0"/>
                              <w:jc w:val="center"/>
                              <w:textAlignment w:val="baseline"/>
                              <w:rPr>
                                <w:sz w:val="12"/>
                                <w:szCs w:val="20"/>
                              </w:rPr>
                            </w:pPr>
                            <w:r>
                              <w:rPr>
                                <w:rFonts w:ascii="Calibri" w:hAnsi="Calibri"/>
                                <w:b/>
                                <w:color w:val="2D3721"/>
                                <w:sz w:val="20"/>
                              </w:rPr>
                              <w:t>(cumulative 8 M 2022 = -4.3%)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2254C65" id="_x0000_t202" coordsize="21600,21600" o:spt="202" path="m,l,21600r21600,l21600,xe">
                <v:stroke joinstyle="miter"/>
                <v:path gradientshapeok="t" o:connecttype="rect"/>
              </v:shapetype>
              <v:shape id="Titel 1" o:spid="_x0000_s1026" type="#_x0000_t202" style="position:absolute;margin-left:146.75pt;margin-top:21.4pt;width:304.15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" filled="f" stroked="f">
                <v:textbox>
                  <w:txbxContent>
                    <w:p w14:paraId="2A52CA0A" w14:textId="77777777" w:rsidR="00286810" w:rsidRPr="00172119" w:rsidRDefault="00286810" w:rsidP="00286810">
                      <w:pPr>
                        <w:pStyle w:val="Normaalweb"/>
                        <w:kinsoku w:val="0"/>
                        <w:overflowPunct w:val="0"/>
                        <w:spacing w:before="0" w:beforeAutospacing="0" w:after="0" w:afterAutospacing="0"/>
                        <w:jc w:val="center"/>
                        <w:textAlignment w:val="baseline"/>
                        <w:rPr>
                          <w:sz w:val="12"/>
                          <w:szCs w:val="20"/>
                          <w:lang w:val="en-US"/>
                        </w:rPr>
                      </w:pPr>
                      <w:r w:rsidRPr="00172119">
                        <w:rPr>
                          <w:rFonts w:ascii="Calibri" w:hAnsi="Calibri"/>
                          <w:b/>
                          <w:color w:val="2D3721"/>
                          <w:sz w:val="20"/>
                          <w:lang w:val="en-US"/>
                        </w:rPr>
                        <w:t>Furniture industry orders received over time</w:t>
                      </w:r>
                    </w:p>
                    <w:p w14:paraId="451DA166" w14:textId="77777777" w:rsidR="00286810" w:rsidRPr="00350FF0" w:rsidRDefault="00286810" w:rsidP="00286810">
                      <w:pPr>
                        <w:pStyle w:val="Normaalweb"/>
                        <w:kinsoku w:val="0"/>
                        <w:overflowPunct w:val="0"/>
                        <w:spacing w:before="0" w:beforeAutospacing="0" w:after="0" w:afterAutospacing="0"/>
                        <w:jc w:val="center"/>
                        <w:textAlignment w:val="baseline"/>
                        <w:rPr>
                          <w:sz w:val="12"/>
                          <w:szCs w:val="20"/>
                        </w:rPr>
                      </w:pPr>
                      <w:r>
                        <w:rPr>
                          <w:rFonts w:ascii="Calibri" w:hAnsi="Calibri"/>
                          <w:b/>
                          <w:color w:val="2D3721"/>
                          <w:sz w:val="20"/>
                        </w:rPr>
                        <w:t>(cumulative 8 M 2022 = -4.3%)</w:t>
                      </w:r>
                    </w:p>
                  </w:txbxContent>
                </v:textbox>
                <w10:wrap anchorx="margin"/>
              </v:shape>
            </w:pict>
          </mc:Fallback>
        </mc:AlternateContent>
      </w:r>
      <w:r w:rsidRPr="00066710">
        <w:drawing>
          <wp:inline distT="0" distB="0" distL="0" distR="0" wp14:anchorId="38D062CD" wp14:editId="2D6B30A9">
            <wp:extent cx="5844844" cy="2165300"/>
            <wp:effectExtent l="0" t="0" r="3810" b="6985"/>
            <wp:docPr id="1" name="Grafiek 1">
              <a:extLst xmlns:a="http://schemas.openxmlformats.org/drawingml/2006/main">
                <a:ext uri="{FF2B5EF4-FFF2-40B4-BE49-F238E27FC236}">
                  <a16:creationId xmlns:a16="http://schemas.microsoft.com/office/drawing/2014/main" id="{C6321D87-23F5-431A-9F91-AEB319575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D24471" w14:textId="77777777" w:rsidR="00286810" w:rsidRPr="00286810" w:rsidRDefault="00286810" w:rsidP="00286810">
      <w:pPr>
        <w:pStyle w:val="Plattetekst"/>
        <w:rPr>
          <w:rFonts w:asciiTheme="minorHAnsi" w:hAnsiTheme="minorHAnsi" w:cstheme="minorHAnsi"/>
          <w:noProof w:val="0"/>
          <w:lang w:val="en-US"/>
        </w:rPr>
      </w:pPr>
      <w:r w:rsidRPr="00286810">
        <w:rPr>
          <w:rFonts w:asciiTheme="minorHAnsi" w:hAnsiTheme="minorHAnsi"/>
          <w:noProof w:val="0"/>
          <w:sz w:val="16"/>
          <w:lang w:val="en-US"/>
        </w:rPr>
        <w:t>Source: National Bank of Belgium</w:t>
      </w:r>
    </w:p>
    <w:p w14:paraId="3247410F" w14:textId="4D907331" w:rsidR="00286810" w:rsidRPr="00286810" w:rsidRDefault="00286810" w:rsidP="00172119">
      <w:pPr>
        <w:rPr>
          <w:rFonts w:cstheme="minorHAnsi"/>
          <w:b/>
          <w:u w:val="single"/>
          <w:lang w:val="en-US"/>
        </w:rPr>
      </w:pPr>
      <w:r w:rsidRPr="00286810">
        <w:rPr>
          <w:lang w:val="en-US"/>
        </w:rPr>
        <w:br w:type="page"/>
      </w:r>
      <w:r w:rsidRPr="00286810">
        <w:rPr>
          <w:b/>
          <w:u w:val="single"/>
          <w:lang w:val="en-US"/>
        </w:rPr>
        <w:lastRenderedPageBreak/>
        <w:t>Foreign trade: imports fall, exports stabilise</w:t>
      </w:r>
    </w:p>
    <w:p w14:paraId="7297AE0B" w14:textId="77777777" w:rsidR="00286810" w:rsidRPr="00286810" w:rsidRDefault="00286810" w:rsidP="00286810">
      <w:pPr>
        <w:pStyle w:val="Plattetekst"/>
        <w:rPr>
          <w:rFonts w:asciiTheme="minorHAnsi" w:hAnsiTheme="minorHAnsi" w:cstheme="minorHAnsi"/>
          <w:b/>
          <w:noProof w:val="0"/>
          <w:lang w:val="en-US"/>
        </w:rPr>
      </w:pPr>
    </w:p>
    <w:p w14:paraId="3FFCD4C8" w14:textId="77777777" w:rsidR="00286810" w:rsidRPr="00286810" w:rsidRDefault="00286810" w:rsidP="00286810">
      <w:pPr>
        <w:pStyle w:val="Plattetekst"/>
        <w:rPr>
          <w:rFonts w:asciiTheme="minorHAnsi" w:hAnsiTheme="minorHAnsi" w:cstheme="minorBidi"/>
          <w:noProof w:val="0"/>
          <w:lang w:val="en-US"/>
        </w:rPr>
      </w:pPr>
      <w:r w:rsidRPr="00286810">
        <w:rPr>
          <w:rFonts w:asciiTheme="minorHAnsi" w:hAnsiTheme="minorHAnsi"/>
          <w:noProof w:val="0"/>
          <w:lang w:val="en-US"/>
        </w:rPr>
        <w:t xml:space="preserve">In the first half of 2022, </w:t>
      </w:r>
      <w:r w:rsidRPr="00286810">
        <w:rPr>
          <w:rFonts w:asciiTheme="minorHAnsi" w:hAnsiTheme="minorHAnsi"/>
          <w:b/>
          <w:bCs/>
          <w:noProof w:val="0"/>
          <w:lang w:val="en-US"/>
        </w:rPr>
        <w:t>Belgian furniture exports</w:t>
      </w:r>
      <w:r w:rsidRPr="00286810">
        <w:rPr>
          <w:rFonts w:asciiTheme="minorHAnsi" w:hAnsiTheme="minorHAnsi"/>
          <w:noProof w:val="0"/>
          <w:lang w:val="en-US"/>
        </w:rPr>
        <w:t xml:space="preserve"> (including transits) rose in value by 1% compared to the first half of 2021. However, taking into account the cost increase, this does mean a decrease in volume. Just under 870 million euros worth of furniture was exported, with France still the most important export market for Belgian furniture, recording an 8.5% increase. Exports to the Netherlands fell by 0.9% and those to Germany by 2.8%. Within the EU, Spain became the 4</w:t>
      </w:r>
      <w:r w:rsidRPr="00286810">
        <w:rPr>
          <w:rFonts w:asciiTheme="minorHAnsi" w:hAnsiTheme="minorHAnsi"/>
          <w:noProof w:val="0"/>
          <w:vertAlign w:val="superscript"/>
          <w:lang w:val="en-US"/>
        </w:rPr>
        <w:t>th</w:t>
      </w:r>
      <w:r w:rsidRPr="00286810">
        <w:rPr>
          <w:rFonts w:asciiTheme="minorHAnsi" w:hAnsiTheme="minorHAnsi"/>
          <w:noProof w:val="0"/>
          <w:lang w:val="en-US"/>
        </w:rPr>
        <w:t xml:space="preserve"> largest export market.</w:t>
      </w:r>
    </w:p>
    <w:p w14:paraId="617BCF00" w14:textId="77777777" w:rsidR="00286810" w:rsidRPr="00286810" w:rsidRDefault="00286810" w:rsidP="00286810">
      <w:pPr>
        <w:pStyle w:val="Plattetekst"/>
        <w:rPr>
          <w:rFonts w:asciiTheme="minorHAnsi" w:hAnsiTheme="minorHAnsi" w:cstheme="minorHAnsi"/>
          <w:noProof w:val="0"/>
          <w:lang w:val="en-US"/>
        </w:rPr>
      </w:pPr>
    </w:p>
    <w:p w14:paraId="65C124BD" w14:textId="77777777" w:rsidR="00286810" w:rsidRPr="00286810" w:rsidRDefault="00286810" w:rsidP="00286810">
      <w:pPr>
        <w:pStyle w:val="Plattetekst"/>
        <w:rPr>
          <w:rFonts w:asciiTheme="minorHAnsi" w:hAnsiTheme="minorHAnsi" w:cstheme="minorHAnsi"/>
          <w:noProof w:val="0"/>
          <w:lang w:val="en-US"/>
        </w:rPr>
      </w:pPr>
      <w:r w:rsidRPr="00286810">
        <w:rPr>
          <w:rFonts w:asciiTheme="minorHAnsi" w:hAnsiTheme="minorHAnsi"/>
          <w:noProof w:val="0"/>
          <w:lang w:val="en-US"/>
        </w:rPr>
        <w:t xml:space="preserve">In line with the drop in demand, the value of </w:t>
      </w:r>
      <w:r w:rsidRPr="00286810">
        <w:rPr>
          <w:rFonts w:asciiTheme="minorHAnsi" w:hAnsiTheme="minorHAnsi"/>
          <w:b/>
          <w:bCs/>
          <w:noProof w:val="0"/>
          <w:lang w:val="en-US"/>
        </w:rPr>
        <w:t>furniture imports</w:t>
      </w:r>
      <w:r w:rsidRPr="00286810">
        <w:rPr>
          <w:rFonts w:asciiTheme="minorHAnsi" w:hAnsiTheme="minorHAnsi"/>
          <w:noProof w:val="0"/>
          <w:lang w:val="en-US"/>
        </w:rPr>
        <w:t xml:space="preserve"> fell by 5.2% overall – imports from other European Union countries by even 18.5%. China (+14.4%), Indonesia (+51.2) and Vietnam (+57%) increased their interest in the Belgian furniture market. The drop in container prices and the lifting of corona restrictions may certainly have played a role in this, but even in 2021, imports from these countries were already increasing.</w:t>
      </w:r>
    </w:p>
    <w:p w14:paraId="3DAB5C86" w14:textId="77777777" w:rsidR="00286810" w:rsidRPr="00286810" w:rsidRDefault="00286810" w:rsidP="00286810">
      <w:pPr>
        <w:pStyle w:val="Plattetekst"/>
        <w:rPr>
          <w:rFonts w:asciiTheme="minorHAnsi" w:hAnsiTheme="minorHAnsi" w:cstheme="minorHAnsi"/>
          <w:noProof w:val="0"/>
          <w:lang w:val="en-US"/>
        </w:rPr>
      </w:pPr>
    </w:p>
    <w:tbl>
      <w:tblPr>
        <w:tblW w:w="9237" w:type="dxa"/>
        <w:tblCellMar>
          <w:left w:w="70" w:type="dxa"/>
          <w:right w:w="70" w:type="dxa"/>
        </w:tblCellMar>
        <w:tblLook w:val="04A0" w:firstRow="1" w:lastRow="0" w:firstColumn="1" w:lastColumn="0" w:noHBand="0" w:noVBand="1"/>
      </w:tblPr>
      <w:tblGrid>
        <w:gridCol w:w="1296"/>
        <w:gridCol w:w="899"/>
        <w:gridCol w:w="985"/>
        <w:gridCol w:w="985"/>
        <w:gridCol w:w="670"/>
        <w:gridCol w:w="875"/>
        <w:gridCol w:w="850"/>
        <w:gridCol w:w="850"/>
        <w:gridCol w:w="670"/>
        <w:gridCol w:w="1157"/>
      </w:tblGrid>
      <w:tr w:rsidR="00286810" w:rsidRPr="00203B4B" w14:paraId="6A47647B" w14:textId="77777777" w:rsidTr="004877F2">
        <w:tc>
          <w:tcPr>
            <w:tcW w:w="9237"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72094FCD" w14:textId="77777777" w:rsidR="00286810" w:rsidRPr="00286810" w:rsidRDefault="00286810" w:rsidP="004877F2">
            <w:pPr>
              <w:jc w:val="center"/>
              <w:rPr>
                <w:rFonts w:cstheme="minorHAnsi"/>
                <w:b/>
                <w:bCs/>
                <w:sz w:val="16"/>
                <w:szCs w:val="16"/>
                <w:lang w:val="en-US"/>
              </w:rPr>
            </w:pPr>
            <w:r w:rsidRPr="00286810">
              <w:rPr>
                <w:b/>
                <w:sz w:val="16"/>
                <w:lang w:val="en-US"/>
              </w:rPr>
              <w:t>Foreign trade in the furniture industry (incl. furniture made of metal and plastic)</w:t>
            </w:r>
          </w:p>
        </w:tc>
      </w:tr>
      <w:tr w:rsidR="00286810" w:rsidRPr="00066710" w14:paraId="316B7084"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4FE6AA02" w14:textId="77777777" w:rsidR="00286810" w:rsidRPr="00286810" w:rsidRDefault="00286810" w:rsidP="004877F2">
            <w:pPr>
              <w:rPr>
                <w:rFonts w:cstheme="minorHAnsi"/>
                <w:color w:val="000000"/>
                <w:sz w:val="16"/>
                <w:szCs w:val="16"/>
                <w:lang w:val="en-US"/>
              </w:rPr>
            </w:pPr>
            <w:r w:rsidRPr="00286810">
              <w:rPr>
                <w:color w:val="000000"/>
                <w:sz w:val="16"/>
                <w:lang w:val="en-US"/>
              </w:rPr>
              <w:t> </w:t>
            </w:r>
          </w:p>
        </w:tc>
        <w:tc>
          <w:tcPr>
            <w:tcW w:w="3539"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5F14FB12" w14:textId="77777777" w:rsidR="00286810" w:rsidRPr="00066710" w:rsidRDefault="00286810" w:rsidP="004877F2">
            <w:pPr>
              <w:jc w:val="center"/>
              <w:rPr>
                <w:rFonts w:cstheme="minorHAnsi"/>
                <w:b/>
                <w:bCs/>
                <w:color w:val="000000"/>
                <w:sz w:val="16"/>
                <w:szCs w:val="16"/>
              </w:rPr>
            </w:pPr>
            <w:r w:rsidRPr="00066710">
              <w:rPr>
                <w:b/>
                <w:color w:val="000000"/>
                <w:sz w:val="16"/>
              </w:rPr>
              <w:t>Belgian imports</w:t>
            </w:r>
          </w:p>
        </w:tc>
        <w:tc>
          <w:tcPr>
            <w:tcW w:w="3245" w:type="dxa"/>
            <w:gridSpan w:val="4"/>
            <w:tcBorders>
              <w:top w:val="nil"/>
              <w:left w:val="nil"/>
              <w:bottom w:val="nil"/>
              <w:right w:val="nil"/>
            </w:tcBorders>
            <w:shd w:val="clear" w:color="auto" w:fill="FFFFFF" w:themeFill="background1"/>
            <w:noWrap/>
            <w:vAlign w:val="bottom"/>
            <w:hideMark/>
          </w:tcPr>
          <w:p w14:paraId="42F0D467" w14:textId="77777777" w:rsidR="00286810" w:rsidRPr="00066710" w:rsidRDefault="00286810" w:rsidP="004877F2">
            <w:pPr>
              <w:jc w:val="center"/>
              <w:rPr>
                <w:rFonts w:cstheme="minorHAnsi"/>
                <w:b/>
                <w:bCs/>
                <w:color w:val="000000"/>
                <w:sz w:val="16"/>
                <w:szCs w:val="16"/>
              </w:rPr>
            </w:pPr>
            <w:r w:rsidRPr="00066710">
              <w:rPr>
                <w:b/>
                <w:color w:val="000000"/>
                <w:sz w:val="16"/>
              </w:rPr>
              <w:t>Belgian exports</w:t>
            </w:r>
          </w:p>
        </w:tc>
        <w:tc>
          <w:tcPr>
            <w:tcW w:w="1157" w:type="dxa"/>
            <w:tcBorders>
              <w:top w:val="nil"/>
              <w:left w:val="single" w:sz="4" w:space="0" w:color="auto"/>
              <w:bottom w:val="nil"/>
              <w:right w:val="single" w:sz="4" w:space="0" w:color="auto"/>
            </w:tcBorders>
            <w:shd w:val="clear" w:color="auto" w:fill="FFFFFF" w:themeFill="background1"/>
            <w:noWrap/>
            <w:vAlign w:val="bottom"/>
            <w:hideMark/>
          </w:tcPr>
          <w:p w14:paraId="2C115EB8" w14:textId="77777777" w:rsidR="00286810" w:rsidRPr="00066710" w:rsidRDefault="00286810" w:rsidP="004877F2">
            <w:pPr>
              <w:jc w:val="center"/>
              <w:rPr>
                <w:color w:val="000000"/>
                <w:sz w:val="16"/>
                <w:szCs w:val="16"/>
              </w:rPr>
            </w:pPr>
          </w:p>
        </w:tc>
      </w:tr>
      <w:tr w:rsidR="00286810" w:rsidRPr="00066710" w14:paraId="029E474A"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01C85039" w14:textId="77777777" w:rsidR="00286810" w:rsidRPr="00066710" w:rsidRDefault="00286810" w:rsidP="004877F2">
            <w:pPr>
              <w:rPr>
                <w:rFonts w:cstheme="minorHAnsi"/>
                <w:color w:val="000000"/>
                <w:sz w:val="16"/>
                <w:szCs w:val="16"/>
              </w:rPr>
            </w:pPr>
            <w:r w:rsidRPr="00066710">
              <w:rPr>
                <w:color w:val="000000"/>
                <w:sz w:val="16"/>
              </w:rPr>
              <w:t> </w:t>
            </w:r>
          </w:p>
        </w:tc>
        <w:tc>
          <w:tcPr>
            <w:tcW w:w="899" w:type="dxa"/>
            <w:tcBorders>
              <w:top w:val="nil"/>
              <w:left w:val="single" w:sz="4" w:space="0" w:color="auto"/>
              <w:bottom w:val="nil"/>
              <w:right w:val="nil"/>
            </w:tcBorders>
            <w:shd w:val="clear" w:color="auto" w:fill="FFFFFF" w:themeFill="background1"/>
            <w:noWrap/>
            <w:vAlign w:val="bottom"/>
            <w:hideMark/>
          </w:tcPr>
          <w:p w14:paraId="7CBA4D21" w14:textId="77777777" w:rsidR="00286810" w:rsidRPr="00066710" w:rsidRDefault="00286810" w:rsidP="004877F2">
            <w:pPr>
              <w:jc w:val="center"/>
              <w:rPr>
                <w:rFonts w:cstheme="minorHAnsi"/>
                <w:color w:val="000000"/>
                <w:sz w:val="16"/>
                <w:szCs w:val="16"/>
              </w:rPr>
            </w:pPr>
            <w:r w:rsidRPr="00066710">
              <w:rPr>
                <w:color w:val="000000"/>
                <w:sz w:val="16"/>
              </w:rPr>
              <w:t>Percentage</w:t>
            </w:r>
          </w:p>
        </w:tc>
        <w:tc>
          <w:tcPr>
            <w:tcW w:w="985" w:type="dxa"/>
            <w:tcBorders>
              <w:top w:val="nil"/>
              <w:left w:val="nil"/>
              <w:bottom w:val="nil"/>
              <w:right w:val="nil"/>
            </w:tcBorders>
            <w:shd w:val="clear" w:color="auto" w:fill="FFFFFF" w:themeFill="background1"/>
            <w:noWrap/>
            <w:vAlign w:val="bottom"/>
            <w:hideMark/>
          </w:tcPr>
          <w:p w14:paraId="122DF490"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985" w:type="dxa"/>
            <w:tcBorders>
              <w:top w:val="nil"/>
              <w:left w:val="nil"/>
              <w:bottom w:val="nil"/>
              <w:right w:val="nil"/>
            </w:tcBorders>
            <w:shd w:val="clear" w:color="auto" w:fill="FFFFFF" w:themeFill="background1"/>
            <w:noWrap/>
            <w:vAlign w:val="bottom"/>
            <w:hideMark/>
          </w:tcPr>
          <w:p w14:paraId="080BEF63"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670" w:type="dxa"/>
            <w:tcBorders>
              <w:top w:val="nil"/>
              <w:left w:val="nil"/>
              <w:bottom w:val="nil"/>
              <w:right w:val="single" w:sz="4" w:space="0" w:color="auto"/>
            </w:tcBorders>
            <w:shd w:val="clear" w:color="auto" w:fill="FFFFFF" w:themeFill="background1"/>
            <w:noWrap/>
            <w:vAlign w:val="bottom"/>
            <w:hideMark/>
          </w:tcPr>
          <w:p w14:paraId="4CEB6FD9"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875" w:type="dxa"/>
            <w:tcBorders>
              <w:top w:val="nil"/>
              <w:left w:val="nil"/>
              <w:bottom w:val="nil"/>
              <w:right w:val="nil"/>
            </w:tcBorders>
            <w:shd w:val="clear" w:color="auto" w:fill="FFFFFF" w:themeFill="background1"/>
            <w:noWrap/>
            <w:vAlign w:val="bottom"/>
            <w:hideMark/>
          </w:tcPr>
          <w:p w14:paraId="7F2EAB39" w14:textId="77777777" w:rsidR="00286810" w:rsidRPr="00066710" w:rsidRDefault="00286810" w:rsidP="004877F2">
            <w:pPr>
              <w:jc w:val="center"/>
              <w:rPr>
                <w:rFonts w:cstheme="minorHAnsi"/>
                <w:color w:val="000000"/>
                <w:sz w:val="16"/>
                <w:szCs w:val="16"/>
              </w:rPr>
            </w:pPr>
            <w:r w:rsidRPr="00066710">
              <w:rPr>
                <w:color w:val="000000"/>
                <w:sz w:val="16"/>
              </w:rPr>
              <w:t>Percentage</w:t>
            </w:r>
          </w:p>
        </w:tc>
        <w:tc>
          <w:tcPr>
            <w:tcW w:w="850" w:type="dxa"/>
            <w:tcBorders>
              <w:top w:val="nil"/>
              <w:left w:val="nil"/>
              <w:bottom w:val="nil"/>
              <w:right w:val="nil"/>
            </w:tcBorders>
            <w:shd w:val="clear" w:color="auto" w:fill="FFFFFF" w:themeFill="background1"/>
            <w:noWrap/>
            <w:vAlign w:val="bottom"/>
            <w:hideMark/>
          </w:tcPr>
          <w:p w14:paraId="3C6BB047"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850" w:type="dxa"/>
            <w:tcBorders>
              <w:top w:val="nil"/>
              <w:left w:val="nil"/>
              <w:bottom w:val="nil"/>
              <w:right w:val="nil"/>
            </w:tcBorders>
            <w:shd w:val="clear" w:color="auto" w:fill="FFFFFF" w:themeFill="background1"/>
            <w:noWrap/>
            <w:vAlign w:val="bottom"/>
            <w:hideMark/>
          </w:tcPr>
          <w:p w14:paraId="0A567654"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670" w:type="dxa"/>
            <w:tcBorders>
              <w:top w:val="nil"/>
              <w:left w:val="nil"/>
              <w:bottom w:val="nil"/>
              <w:right w:val="nil"/>
            </w:tcBorders>
            <w:shd w:val="clear" w:color="auto" w:fill="FFFFFF" w:themeFill="background1"/>
            <w:noWrap/>
            <w:vAlign w:val="bottom"/>
            <w:hideMark/>
          </w:tcPr>
          <w:p w14:paraId="32062286"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1157" w:type="dxa"/>
            <w:tcBorders>
              <w:top w:val="nil"/>
              <w:left w:val="single" w:sz="4" w:space="0" w:color="auto"/>
              <w:bottom w:val="nil"/>
              <w:right w:val="single" w:sz="4" w:space="0" w:color="auto"/>
            </w:tcBorders>
            <w:shd w:val="clear" w:color="auto" w:fill="FFFFFF" w:themeFill="background1"/>
            <w:noWrap/>
            <w:vAlign w:val="bottom"/>
            <w:hideMark/>
          </w:tcPr>
          <w:p w14:paraId="30673663" w14:textId="77777777" w:rsidR="00286810" w:rsidRPr="00066710" w:rsidRDefault="00286810" w:rsidP="004877F2">
            <w:pPr>
              <w:jc w:val="center"/>
              <w:rPr>
                <w:color w:val="000000" w:themeColor="text1"/>
                <w:sz w:val="16"/>
                <w:szCs w:val="16"/>
              </w:rPr>
            </w:pPr>
            <w:r w:rsidRPr="2F196FD8">
              <w:rPr>
                <w:color w:val="000000" w:themeColor="text1"/>
                <w:sz w:val="16"/>
                <w:szCs w:val="16"/>
              </w:rPr>
              <w:t>Coverage rate</w:t>
            </w:r>
          </w:p>
        </w:tc>
      </w:tr>
      <w:tr w:rsidR="00286810" w:rsidRPr="00066710" w14:paraId="6FB199C6"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0D2194C3" w14:textId="77777777" w:rsidR="00286810" w:rsidRPr="00066710" w:rsidRDefault="00286810" w:rsidP="004877F2">
            <w:pPr>
              <w:rPr>
                <w:rFonts w:cstheme="minorHAnsi"/>
                <w:color w:val="000000"/>
                <w:sz w:val="16"/>
                <w:szCs w:val="16"/>
              </w:rPr>
            </w:pPr>
            <w:r w:rsidRPr="00066710">
              <w:rPr>
                <w:color w:val="000000"/>
                <w:sz w:val="16"/>
              </w:rPr>
              <w:t> </w:t>
            </w:r>
          </w:p>
        </w:tc>
        <w:tc>
          <w:tcPr>
            <w:tcW w:w="899" w:type="dxa"/>
            <w:tcBorders>
              <w:top w:val="nil"/>
              <w:left w:val="single" w:sz="4" w:space="0" w:color="auto"/>
              <w:bottom w:val="nil"/>
              <w:right w:val="nil"/>
            </w:tcBorders>
            <w:shd w:val="clear" w:color="auto" w:fill="FFFFFF" w:themeFill="background1"/>
            <w:noWrap/>
            <w:vAlign w:val="bottom"/>
            <w:hideMark/>
          </w:tcPr>
          <w:p w14:paraId="5C54BD21"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985" w:type="dxa"/>
            <w:tcBorders>
              <w:top w:val="nil"/>
              <w:left w:val="nil"/>
              <w:bottom w:val="nil"/>
              <w:right w:val="nil"/>
            </w:tcBorders>
            <w:shd w:val="clear" w:color="auto" w:fill="FFFFFF" w:themeFill="background1"/>
            <w:noWrap/>
            <w:vAlign w:val="bottom"/>
            <w:hideMark/>
          </w:tcPr>
          <w:p w14:paraId="39E885FA" w14:textId="77777777" w:rsidR="00286810" w:rsidRPr="00066710" w:rsidRDefault="00286810" w:rsidP="004877F2">
            <w:pPr>
              <w:jc w:val="center"/>
              <w:rPr>
                <w:rFonts w:cstheme="minorHAnsi"/>
                <w:color w:val="000000"/>
                <w:sz w:val="16"/>
                <w:szCs w:val="16"/>
              </w:rPr>
            </w:pPr>
            <w:r w:rsidRPr="00066710">
              <w:rPr>
                <w:color w:val="000000"/>
                <w:sz w:val="16"/>
              </w:rPr>
              <w:t>6m2021</w:t>
            </w:r>
          </w:p>
        </w:tc>
        <w:tc>
          <w:tcPr>
            <w:tcW w:w="985" w:type="dxa"/>
            <w:tcBorders>
              <w:top w:val="nil"/>
              <w:left w:val="nil"/>
              <w:bottom w:val="nil"/>
              <w:right w:val="nil"/>
            </w:tcBorders>
            <w:shd w:val="clear" w:color="auto" w:fill="FFFFFF" w:themeFill="background1"/>
            <w:noWrap/>
            <w:vAlign w:val="bottom"/>
            <w:hideMark/>
          </w:tcPr>
          <w:p w14:paraId="2868A110"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670" w:type="dxa"/>
            <w:tcBorders>
              <w:top w:val="nil"/>
              <w:left w:val="nil"/>
              <w:bottom w:val="nil"/>
              <w:right w:val="single" w:sz="4" w:space="0" w:color="auto"/>
            </w:tcBorders>
            <w:shd w:val="clear" w:color="auto" w:fill="FFFFFF" w:themeFill="background1"/>
            <w:noWrap/>
            <w:vAlign w:val="bottom"/>
            <w:hideMark/>
          </w:tcPr>
          <w:p w14:paraId="50F7A31A" w14:textId="77777777" w:rsidR="00286810" w:rsidRPr="00066710" w:rsidRDefault="00286810" w:rsidP="004877F2">
            <w:pPr>
              <w:jc w:val="center"/>
              <w:rPr>
                <w:rFonts w:cstheme="minorHAnsi"/>
                <w:color w:val="000000"/>
                <w:sz w:val="16"/>
                <w:szCs w:val="16"/>
              </w:rPr>
            </w:pPr>
            <w:r w:rsidRPr="00066710">
              <w:rPr>
                <w:color w:val="000000"/>
                <w:sz w:val="16"/>
              </w:rPr>
              <w:t>6m</w:t>
            </w:r>
          </w:p>
        </w:tc>
        <w:tc>
          <w:tcPr>
            <w:tcW w:w="875" w:type="dxa"/>
            <w:tcBorders>
              <w:top w:val="nil"/>
              <w:left w:val="nil"/>
              <w:bottom w:val="nil"/>
              <w:right w:val="nil"/>
            </w:tcBorders>
            <w:shd w:val="clear" w:color="auto" w:fill="FFFFFF" w:themeFill="background1"/>
            <w:noWrap/>
            <w:vAlign w:val="bottom"/>
            <w:hideMark/>
          </w:tcPr>
          <w:p w14:paraId="4738F071"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850" w:type="dxa"/>
            <w:tcBorders>
              <w:top w:val="nil"/>
              <w:left w:val="nil"/>
              <w:bottom w:val="nil"/>
              <w:right w:val="nil"/>
            </w:tcBorders>
            <w:shd w:val="clear" w:color="auto" w:fill="FFFFFF" w:themeFill="background1"/>
            <w:noWrap/>
            <w:vAlign w:val="bottom"/>
            <w:hideMark/>
          </w:tcPr>
          <w:p w14:paraId="6E6CEA47" w14:textId="77777777" w:rsidR="00286810" w:rsidRPr="00066710" w:rsidRDefault="00286810" w:rsidP="004877F2">
            <w:pPr>
              <w:jc w:val="center"/>
              <w:rPr>
                <w:rFonts w:cstheme="minorHAnsi"/>
                <w:color w:val="000000"/>
                <w:sz w:val="16"/>
                <w:szCs w:val="16"/>
              </w:rPr>
            </w:pPr>
            <w:r w:rsidRPr="00066710">
              <w:rPr>
                <w:color w:val="000000"/>
                <w:sz w:val="16"/>
              </w:rPr>
              <w:t>6m2021</w:t>
            </w:r>
          </w:p>
        </w:tc>
        <w:tc>
          <w:tcPr>
            <w:tcW w:w="850" w:type="dxa"/>
            <w:tcBorders>
              <w:top w:val="nil"/>
              <w:left w:val="nil"/>
              <w:bottom w:val="nil"/>
              <w:right w:val="nil"/>
            </w:tcBorders>
            <w:shd w:val="clear" w:color="auto" w:fill="FFFFFF" w:themeFill="background1"/>
            <w:noWrap/>
            <w:vAlign w:val="bottom"/>
            <w:hideMark/>
          </w:tcPr>
          <w:p w14:paraId="63648DB7"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670" w:type="dxa"/>
            <w:tcBorders>
              <w:top w:val="nil"/>
              <w:left w:val="nil"/>
              <w:bottom w:val="nil"/>
              <w:right w:val="single" w:sz="4" w:space="0" w:color="auto"/>
            </w:tcBorders>
            <w:shd w:val="clear" w:color="auto" w:fill="FFFFFF" w:themeFill="background1"/>
            <w:noWrap/>
            <w:vAlign w:val="bottom"/>
            <w:hideMark/>
          </w:tcPr>
          <w:p w14:paraId="239DA34A" w14:textId="77777777" w:rsidR="00286810" w:rsidRPr="00066710" w:rsidRDefault="00286810" w:rsidP="004877F2">
            <w:pPr>
              <w:jc w:val="center"/>
              <w:rPr>
                <w:rFonts w:cstheme="minorHAnsi"/>
                <w:color w:val="000000"/>
                <w:sz w:val="16"/>
                <w:szCs w:val="16"/>
              </w:rPr>
            </w:pPr>
            <w:r w:rsidRPr="00066710">
              <w:rPr>
                <w:color w:val="000000"/>
                <w:sz w:val="16"/>
              </w:rPr>
              <w:t>6m</w:t>
            </w:r>
          </w:p>
        </w:tc>
        <w:tc>
          <w:tcPr>
            <w:tcW w:w="1157" w:type="dxa"/>
            <w:tcBorders>
              <w:top w:val="nil"/>
              <w:left w:val="nil"/>
              <w:bottom w:val="nil"/>
              <w:right w:val="single" w:sz="4" w:space="0" w:color="auto"/>
            </w:tcBorders>
            <w:shd w:val="clear" w:color="auto" w:fill="FFFFFF" w:themeFill="background1"/>
            <w:noWrap/>
            <w:vAlign w:val="bottom"/>
            <w:hideMark/>
          </w:tcPr>
          <w:p w14:paraId="718E0062" w14:textId="77777777" w:rsidR="00286810" w:rsidRPr="00066710" w:rsidRDefault="00286810" w:rsidP="004877F2">
            <w:pPr>
              <w:jc w:val="center"/>
              <w:rPr>
                <w:rFonts w:cstheme="minorHAnsi"/>
                <w:color w:val="000000"/>
                <w:sz w:val="16"/>
                <w:szCs w:val="16"/>
              </w:rPr>
            </w:pPr>
            <w:r w:rsidRPr="00066710">
              <w:rPr>
                <w:color w:val="000000"/>
                <w:sz w:val="16"/>
              </w:rPr>
              <w:t>6m2022</w:t>
            </w:r>
          </w:p>
        </w:tc>
      </w:tr>
      <w:tr w:rsidR="00286810" w:rsidRPr="00066710" w14:paraId="35B29F92" w14:textId="77777777" w:rsidTr="004877F2">
        <w:tc>
          <w:tcPr>
            <w:tcW w:w="1296"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0B65299C" w14:textId="77777777" w:rsidR="00286810" w:rsidRPr="00066710" w:rsidRDefault="00286810" w:rsidP="004877F2">
            <w:pPr>
              <w:rPr>
                <w:rFonts w:cstheme="minorHAnsi"/>
                <w:b/>
                <w:bCs/>
                <w:color w:val="000000"/>
                <w:sz w:val="16"/>
                <w:szCs w:val="16"/>
              </w:rPr>
            </w:pPr>
            <w:r w:rsidRPr="00066710">
              <w:rPr>
                <w:b/>
                <w:color w:val="000000"/>
                <w:sz w:val="16"/>
              </w:rPr>
              <w:t>Countries</w:t>
            </w:r>
          </w:p>
        </w:tc>
        <w:tc>
          <w:tcPr>
            <w:tcW w:w="89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42F9EFB5" w14:textId="77777777" w:rsidR="00286810" w:rsidRPr="00066710" w:rsidRDefault="00286810" w:rsidP="004877F2">
            <w:pPr>
              <w:jc w:val="center"/>
              <w:rPr>
                <w:rFonts w:cstheme="minorHAnsi"/>
                <w:color w:val="000000"/>
                <w:sz w:val="16"/>
                <w:szCs w:val="16"/>
              </w:rPr>
            </w:pPr>
            <w:r w:rsidRPr="00066710">
              <w:rPr>
                <w:color w:val="000000"/>
                <w:sz w:val="16"/>
              </w:rPr>
              <w:t>in %</w:t>
            </w:r>
          </w:p>
        </w:tc>
        <w:tc>
          <w:tcPr>
            <w:tcW w:w="98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96DC8C6"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98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53BC1B7C"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14:paraId="72774FCA" w14:textId="77777777" w:rsidR="00286810" w:rsidRPr="00066710" w:rsidRDefault="00286810" w:rsidP="004877F2">
            <w:pPr>
              <w:jc w:val="center"/>
              <w:rPr>
                <w:rFonts w:cstheme="minorHAnsi"/>
                <w:color w:val="000000"/>
                <w:sz w:val="16"/>
                <w:szCs w:val="16"/>
              </w:rPr>
            </w:pPr>
            <w:r w:rsidRPr="00066710">
              <w:rPr>
                <w:color w:val="000000"/>
                <w:sz w:val="16"/>
              </w:rPr>
              <w:t>22/21</w:t>
            </w:r>
          </w:p>
        </w:tc>
        <w:tc>
          <w:tcPr>
            <w:tcW w:w="87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63D003A" w14:textId="77777777" w:rsidR="00286810" w:rsidRPr="00066710" w:rsidRDefault="00286810" w:rsidP="004877F2">
            <w:pPr>
              <w:jc w:val="center"/>
              <w:rPr>
                <w:rFonts w:cstheme="minorHAnsi"/>
                <w:color w:val="000000"/>
                <w:sz w:val="16"/>
                <w:szCs w:val="16"/>
              </w:rPr>
            </w:pPr>
            <w:r w:rsidRPr="00066710">
              <w:rPr>
                <w:color w:val="000000"/>
                <w:sz w:val="16"/>
              </w:rPr>
              <w:t>in %</w:t>
            </w:r>
          </w:p>
        </w:tc>
        <w:tc>
          <w:tcPr>
            <w:tcW w:w="85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D3E970C"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85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7535895D"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14:paraId="21E3A51B" w14:textId="77777777" w:rsidR="00286810" w:rsidRPr="00066710" w:rsidRDefault="00286810" w:rsidP="004877F2">
            <w:pPr>
              <w:jc w:val="center"/>
              <w:rPr>
                <w:rFonts w:cstheme="minorHAnsi"/>
                <w:color w:val="000000"/>
                <w:sz w:val="16"/>
                <w:szCs w:val="16"/>
              </w:rPr>
            </w:pPr>
            <w:r w:rsidRPr="00066710">
              <w:rPr>
                <w:color w:val="000000"/>
                <w:sz w:val="16"/>
              </w:rPr>
              <w:t>22/21</w:t>
            </w:r>
          </w:p>
        </w:tc>
        <w:tc>
          <w:tcPr>
            <w:tcW w:w="1157"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3541BB13" w14:textId="77777777" w:rsidR="00286810" w:rsidRPr="00066710" w:rsidRDefault="00286810" w:rsidP="004877F2">
            <w:pPr>
              <w:jc w:val="center"/>
              <w:rPr>
                <w:rFonts w:cstheme="minorHAnsi"/>
                <w:color w:val="000000"/>
                <w:sz w:val="16"/>
                <w:szCs w:val="16"/>
              </w:rPr>
            </w:pPr>
            <w:r w:rsidRPr="00066710">
              <w:rPr>
                <w:color w:val="000000"/>
                <w:sz w:val="16"/>
              </w:rPr>
              <w:t>(Exp/imp)</w:t>
            </w:r>
          </w:p>
        </w:tc>
      </w:tr>
      <w:tr w:rsidR="00286810" w:rsidRPr="00066710" w14:paraId="479A3A98" w14:textId="77777777" w:rsidTr="004877F2">
        <w:tc>
          <w:tcPr>
            <w:tcW w:w="1296"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20A06B73" w14:textId="77777777" w:rsidR="00286810" w:rsidRPr="00066710" w:rsidRDefault="00286810" w:rsidP="004877F2">
            <w:pPr>
              <w:rPr>
                <w:rFonts w:cstheme="minorHAnsi"/>
                <w:color w:val="000000"/>
                <w:sz w:val="16"/>
                <w:szCs w:val="16"/>
              </w:rPr>
            </w:pPr>
            <w:r w:rsidRPr="00066710">
              <w:rPr>
                <w:color w:val="000000"/>
                <w:sz w:val="16"/>
              </w:rPr>
              <w:t>France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546D239" w14:textId="77777777" w:rsidR="00286810" w:rsidRPr="00066710" w:rsidRDefault="00286810" w:rsidP="004877F2">
            <w:pPr>
              <w:jc w:val="right"/>
              <w:rPr>
                <w:rFonts w:cstheme="minorHAnsi"/>
                <w:color w:val="000000"/>
                <w:sz w:val="16"/>
                <w:szCs w:val="16"/>
              </w:rPr>
            </w:pPr>
            <w:r w:rsidRPr="00066710">
              <w:rPr>
                <w:color w:val="000000"/>
                <w:sz w:val="16"/>
              </w:rPr>
              <w:t>5.6</w:t>
            </w:r>
          </w:p>
        </w:tc>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48FBBE6E" w14:textId="77777777" w:rsidR="00286810" w:rsidRPr="00066710" w:rsidRDefault="00286810" w:rsidP="004877F2">
            <w:pPr>
              <w:jc w:val="right"/>
              <w:rPr>
                <w:rFonts w:cstheme="minorHAnsi"/>
                <w:color w:val="000000"/>
                <w:sz w:val="16"/>
                <w:szCs w:val="16"/>
              </w:rPr>
            </w:pPr>
            <w:r w:rsidRPr="00066710">
              <w:rPr>
                <w:color w:val="000000"/>
                <w:sz w:val="16"/>
              </w:rPr>
              <w:t>88,933.3</w:t>
            </w:r>
          </w:p>
        </w:tc>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7CC5671C" w14:textId="77777777" w:rsidR="00286810" w:rsidRPr="00066710" w:rsidRDefault="00286810" w:rsidP="004877F2">
            <w:pPr>
              <w:jc w:val="right"/>
              <w:rPr>
                <w:rFonts w:cstheme="minorHAnsi"/>
                <w:color w:val="000000"/>
                <w:sz w:val="16"/>
                <w:szCs w:val="16"/>
              </w:rPr>
            </w:pPr>
            <w:r w:rsidRPr="00066710">
              <w:rPr>
                <w:color w:val="000000"/>
                <w:sz w:val="16"/>
              </w:rPr>
              <w:t>81,681.4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C11A59E" w14:textId="77777777" w:rsidR="00286810" w:rsidRPr="00066710" w:rsidRDefault="00286810" w:rsidP="004877F2">
            <w:pPr>
              <w:jc w:val="right"/>
              <w:rPr>
                <w:rFonts w:cstheme="minorHAnsi"/>
                <w:color w:val="000000"/>
                <w:sz w:val="16"/>
                <w:szCs w:val="16"/>
              </w:rPr>
            </w:pPr>
            <w:r w:rsidRPr="00066710">
              <w:rPr>
                <w:color w:val="000000"/>
                <w:sz w:val="16"/>
              </w:rPr>
              <w:t>-8.2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0B6F66" w14:textId="77777777" w:rsidR="00286810" w:rsidRPr="00066710" w:rsidRDefault="00286810" w:rsidP="004877F2">
            <w:pPr>
              <w:jc w:val="right"/>
              <w:rPr>
                <w:rFonts w:cstheme="minorHAnsi"/>
                <w:color w:val="000000"/>
                <w:sz w:val="16"/>
                <w:szCs w:val="16"/>
              </w:rPr>
            </w:pPr>
            <w:r w:rsidRPr="00066710">
              <w:rPr>
                <w:color w:val="000000"/>
                <w:sz w:val="16"/>
              </w:rPr>
              <w:t>40.4</w:t>
            </w:r>
          </w:p>
        </w:tc>
        <w:tc>
          <w:tcPr>
            <w:tcW w:w="85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2DBD5D18" w14:textId="77777777" w:rsidR="00286810" w:rsidRPr="00066710" w:rsidRDefault="00286810" w:rsidP="004877F2">
            <w:pPr>
              <w:jc w:val="right"/>
              <w:rPr>
                <w:rFonts w:cstheme="minorHAnsi"/>
                <w:color w:val="000000"/>
                <w:sz w:val="16"/>
                <w:szCs w:val="16"/>
              </w:rPr>
            </w:pPr>
            <w:r w:rsidRPr="00066710">
              <w:rPr>
                <w:color w:val="000000"/>
                <w:sz w:val="16"/>
              </w:rPr>
              <w:t>323,601.3</w:t>
            </w:r>
          </w:p>
        </w:tc>
        <w:tc>
          <w:tcPr>
            <w:tcW w:w="85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54A92EAB" w14:textId="77777777" w:rsidR="00286810" w:rsidRPr="00066710" w:rsidRDefault="00286810" w:rsidP="004877F2">
            <w:pPr>
              <w:jc w:val="right"/>
              <w:rPr>
                <w:rFonts w:cstheme="minorHAnsi"/>
                <w:color w:val="000000"/>
                <w:sz w:val="16"/>
                <w:szCs w:val="16"/>
              </w:rPr>
            </w:pPr>
            <w:r w:rsidRPr="00066710">
              <w:rPr>
                <w:color w:val="000000"/>
                <w:sz w:val="16"/>
              </w:rPr>
              <w:t>350,998.0</w:t>
            </w:r>
          </w:p>
        </w:tc>
        <w:tc>
          <w:tcPr>
            <w:tcW w:w="670" w:type="dxa"/>
            <w:tcBorders>
              <w:top w:val="nil"/>
              <w:left w:val="nil"/>
              <w:bottom w:val="single" w:sz="4" w:space="0" w:color="FFFFFF" w:themeColor="background1"/>
              <w:right w:val="nil"/>
            </w:tcBorders>
            <w:shd w:val="clear" w:color="auto" w:fill="auto"/>
            <w:noWrap/>
            <w:vAlign w:val="bottom"/>
            <w:hideMark/>
          </w:tcPr>
          <w:p w14:paraId="797044DD" w14:textId="77777777" w:rsidR="00286810" w:rsidRPr="00066710" w:rsidRDefault="00286810" w:rsidP="004877F2">
            <w:pPr>
              <w:jc w:val="right"/>
              <w:rPr>
                <w:rFonts w:cstheme="minorHAnsi"/>
                <w:color w:val="000000"/>
                <w:sz w:val="16"/>
                <w:szCs w:val="16"/>
              </w:rPr>
            </w:pPr>
            <w:r w:rsidRPr="00066710">
              <w:rPr>
                <w:color w:val="000000"/>
                <w:sz w:val="16"/>
              </w:rPr>
              <w:t>8.5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30EBDF5" w14:textId="77777777" w:rsidR="00286810" w:rsidRPr="00066710" w:rsidRDefault="00286810" w:rsidP="004877F2">
            <w:pPr>
              <w:jc w:val="right"/>
              <w:rPr>
                <w:rFonts w:cstheme="minorHAnsi"/>
                <w:color w:val="000000"/>
                <w:sz w:val="16"/>
                <w:szCs w:val="16"/>
              </w:rPr>
            </w:pPr>
            <w:r w:rsidRPr="00066710">
              <w:rPr>
                <w:color w:val="000000"/>
                <w:sz w:val="16"/>
              </w:rPr>
              <w:t>429.7</w:t>
            </w:r>
          </w:p>
        </w:tc>
      </w:tr>
      <w:tr w:rsidR="00286810" w:rsidRPr="00066710" w14:paraId="1416C42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2C6A3DA" w14:textId="77777777" w:rsidR="00286810" w:rsidRPr="00066710" w:rsidRDefault="00286810" w:rsidP="004877F2">
            <w:pPr>
              <w:rPr>
                <w:rFonts w:cstheme="minorHAnsi"/>
                <w:color w:val="000000"/>
                <w:sz w:val="16"/>
                <w:szCs w:val="16"/>
              </w:rPr>
            </w:pPr>
            <w:r w:rsidRPr="00066710">
              <w:rPr>
                <w:color w:val="000000"/>
                <w:sz w:val="16"/>
              </w:rPr>
              <w:t>Netherlands</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9889260" w14:textId="77777777" w:rsidR="00286810" w:rsidRPr="00066710" w:rsidRDefault="00286810" w:rsidP="004877F2">
            <w:pPr>
              <w:jc w:val="right"/>
              <w:rPr>
                <w:rFonts w:cstheme="minorHAnsi"/>
                <w:color w:val="000000"/>
                <w:sz w:val="16"/>
                <w:szCs w:val="16"/>
              </w:rPr>
            </w:pPr>
            <w:r w:rsidRPr="00066710">
              <w:rPr>
                <w:color w:val="000000"/>
                <w:sz w:val="16"/>
              </w:rPr>
              <w:t>13.5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7643EDA" w14:textId="77777777" w:rsidR="00286810" w:rsidRPr="00066710" w:rsidRDefault="00286810" w:rsidP="004877F2">
            <w:pPr>
              <w:jc w:val="right"/>
              <w:rPr>
                <w:rFonts w:cstheme="minorHAnsi"/>
                <w:color w:val="000000"/>
                <w:sz w:val="16"/>
                <w:szCs w:val="16"/>
              </w:rPr>
            </w:pPr>
            <w:r w:rsidRPr="00066710">
              <w:rPr>
                <w:color w:val="000000"/>
                <w:sz w:val="16"/>
              </w:rPr>
              <w:t>224,454.6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BCBF0BC" w14:textId="77777777" w:rsidR="00286810" w:rsidRPr="00066710" w:rsidRDefault="00286810" w:rsidP="004877F2">
            <w:pPr>
              <w:jc w:val="right"/>
              <w:rPr>
                <w:rFonts w:cstheme="minorHAnsi"/>
                <w:color w:val="000000"/>
                <w:sz w:val="16"/>
                <w:szCs w:val="16"/>
              </w:rPr>
            </w:pPr>
            <w:r w:rsidRPr="00066710">
              <w:rPr>
                <w:color w:val="000000"/>
                <w:sz w:val="16"/>
              </w:rPr>
              <w:t>198,876.2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9DF3755" w14:textId="77777777" w:rsidR="00286810" w:rsidRPr="00066710" w:rsidRDefault="00286810" w:rsidP="004877F2">
            <w:pPr>
              <w:jc w:val="right"/>
              <w:rPr>
                <w:rFonts w:cstheme="minorHAnsi"/>
                <w:color w:val="000000"/>
                <w:sz w:val="16"/>
                <w:szCs w:val="16"/>
              </w:rPr>
            </w:pPr>
            <w:r w:rsidRPr="00066710">
              <w:rPr>
                <w:color w:val="000000"/>
                <w:sz w:val="16"/>
              </w:rPr>
              <w:t>-11.4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5AAC52" w14:textId="77777777" w:rsidR="00286810" w:rsidRPr="00066710" w:rsidRDefault="00286810" w:rsidP="004877F2">
            <w:pPr>
              <w:jc w:val="right"/>
              <w:rPr>
                <w:rFonts w:cstheme="minorHAnsi"/>
                <w:color w:val="000000"/>
                <w:sz w:val="16"/>
                <w:szCs w:val="16"/>
              </w:rPr>
            </w:pPr>
            <w:r w:rsidRPr="00066710">
              <w:rPr>
                <w:color w:val="000000"/>
                <w:sz w:val="16"/>
              </w:rPr>
              <w:t>23.2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91839B" w14:textId="77777777" w:rsidR="00286810" w:rsidRPr="00066710" w:rsidRDefault="00286810" w:rsidP="004877F2">
            <w:pPr>
              <w:jc w:val="right"/>
              <w:rPr>
                <w:rFonts w:cstheme="minorHAnsi"/>
                <w:color w:val="000000"/>
                <w:sz w:val="16"/>
                <w:szCs w:val="16"/>
              </w:rPr>
            </w:pPr>
            <w:r w:rsidRPr="00066710">
              <w:rPr>
                <w:color w:val="000000"/>
                <w:sz w:val="16"/>
              </w:rPr>
              <w:t>203,895.4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72A587" w14:textId="77777777" w:rsidR="00286810" w:rsidRPr="00066710" w:rsidRDefault="00286810" w:rsidP="004877F2">
            <w:pPr>
              <w:jc w:val="right"/>
              <w:rPr>
                <w:rFonts w:cstheme="minorHAnsi"/>
                <w:color w:val="000000"/>
                <w:sz w:val="16"/>
                <w:szCs w:val="16"/>
              </w:rPr>
            </w:pPr>
            <w:r w:rsidRPr="00066710">
              <w:rPr>
                <w:color w:val="000000"/>
                <w:sz w:val="16"/>
              </w:rPr>
              <w:t>201,983.9</w:t>
            </w:r>
          </w:p>
        </w:tc>
        <w:tc>
          <w:tcPr>
            <w:tcW w:w="670" w:type="dxa"/>
            <w:tcBorders>
              <w:top w:val="nil"/>
              <w:left w:val="nil"/>
              <w:bottom w:val="single" w:sz="4" w:space="0" w:color="FFFFFF" w:themeColor="background1"/>
              <w:right w:val="nil"/>
            </w:tcBorders>
            <w:shd w:val="clear" w:color="auto" w:fill="auto"/>
            <w:noWrap/>
            <w:vAlign w:val="bottom"/>
            <w:hideMark/>
          </w:tcPr>
          <w:p w14:paraId="66450C2D" w14:textId="77777777" w:rsidR="00286810" w:rsidRPr="00066710" w:rsidRDefault="00286810" w:rsidP="004877F2">
            <w:pPr>
              <w:jc w:val="right"/>
              <w:rPr>
                <w:rFonts w:cstheme="minorHAnsi"/>
                <w:color w:val="000000"/>
                <w:sz w:val="16"/>
                <w:szCs w:val="16"/>
              </w:rPr>
            </w:pPr>
            <w:r w:rsidRPr="00066710">
              <w:rPr>
                <w:color w:val="000000"/>
                <w:sz w:val="16"/>
              </w:rPr>
              <w:t>-0.9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F0F5EA" w14:textId="77777777" w:rsidR="00286810" w:rsidRPr="00066710" w:rsidRDefault="00286810" w:rsidP="004877F2">
            <w:pPr>
              <w:jc w:val="right"/>
              <w:rPr>
                <w:rFonts w:cstheme="minorHAnsi"/>
                <w:color w:val="000000"/>
                <w:sz w:val="16"/>
                <w:szCs w:val="16"/>
              </w:rPr>
            </w:pPr>
            <w:r w:rsidRPr="00066710">
              <w:rPr>
                <w:color w:val="000000"/>
                <w:sz w:val="16"/>
              </w:rPr>
              <w:t>101.6</w:t>
            </w:r>
          </w:p>
        </w:tc>
      </w:tr>
      <w:tr w:rsidR="00286810" w:rsidRPr="00066710" w14:paraId="275F7D8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86F3A0C" w14:textId="77777777" w:rsidR="00286810" w:rsidRPr="00066710" w:rsidRDefault="00286810" w:rsidP="004877F2">
            <w:pPr>
              <w:rPr>
                <w:rFonts w:cstheme="minorHAnsi"/>
                <w:color w:val="000000"/>
                <w:sz w:val="16"/>
                <w:szCs w:val="16"/>
              </w:rPr>
            </w:pPr>
            <w:r w:rsidRPr="00066710">
              <w:rPr>
                <w:color w:val="000000"/>
                <w:sz w:val="16"/>
              </w:rPr>
              <w:t>Germany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E12CC34" w14:textId="77777777" w:rsidR="00286810" w:rsidRPr="00066710" w:rsidRDefault="00286810" w:rsidP="004877F2">
            <w:pPr>
              <w:jc w:val="right"/>
              <w:rPr>
                <w:rFonts w:cstheme="minorHAnsi"/>
                <w:color w:val="000000"/>
                <w:sz w:val="16"/>
                <w:szCs w:val="16"/>
              </w:rPr>
            </w:pPr>
            <w:r w:rsidRPr="00066710">
              <w:rPr>
                <w:color w:val="000000"/>
                <w:sz w:val="16"/>
              </w:rPr>
              <w:t>12.1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230CBAB" w14:textId="77777777" w:rsidR="00286810" w:rsidRPr="00066710" w:rsidRDefault="00286810" w:rsidP="004877F2">
            <w:pPr>
              <w:jc w:val="right"/>
              <w:rPr>
                <w:rFonts w:cstheme="minorHAnsi"/>
                <w:color w:val="000000"/>
                <w:sz w:val="16"/>
                <w:szCs w:val="16"/>
              </w:rPr>
            </w:pPr>
            <w:r w:rsidRPr="00066710">
              <w:rPr>
                <w:color w:val="000000"/>
                <w:sz w:val="16"/>
              </w:rPr>
              <w:t>209,017.6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50244CD" w14:textId="77777777" w:rsidR="00286810" w:rsidRPr="00066710" w:rsidRDefault="00286810" w:rsidP="004877F2">
            <w:pPr>
              <w:jc w:val="right"/>
              <w:rPr>
                <w:rFonts w:cstheme="minorHAnsi"/>
                <w:color w:val="000000"/>
                <w:sz w:val="16"/>
                <w:szCs w:val="16"/>
              </w:rPr>
            </w:pPr>
            <w:r w:rsidRPr="00066710">
              <w:rPr>
                <w:color w:val="000000"/>
                <w:sz w:val="16"/>
              </w:rPr>
              <w:t>178,378.8</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316329B" w14:textId="77777777" w:rsidR="00286810" w:rsidRPr="00066710" w:rsidRDefault="00286810" w:rsidP="004877F2">
            <w:pPr>
              <w:jc w:val="right"/>
              <w:rPr>
                <w:rFonts w:cstheme="minorHAnsi"/>
                <w:color w:val="000000"/>
                <w:sz w:val="16"/>
                <w:szCs w:val="16"/>
              </w:rPr>
            </w:pPr>
            <w:r w:rsidRPr="00066710">
              <w:rPr>
                <w:color w:val="000000"/>
                <w:sz w:val="16"/>
              </w:rPr>
              <w:t>-14.7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A03EBF" w14:textId="77777777" w:rsidR="00286810" w:rsidRPr="00066710" w:rsidRDefault="00286810" w:rsidP="004877F2">
            <w:pPr>
              <w:jc w:val="right"/>
              <w:rPr>
                <w:rFonts w:cstheme="minorHAnsi"/>
                <w:color w:val="000000"/>
                <w:sz w:val="16"/>
                <w:szCs w:val="16"/>
              </w:rPr>
            </w:pPr>
            <w:r w:rsidRPr="00066710">
              <w:rPr>
                <w:color w:val="000000"/>
                <w:sz w:val="16"/>
              </w:rPr>
              <w:t>14.3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F940871" w14:textId="77777777" w:rsidR="00286810" w:rsidRPr="00066710" w:rsidRDefault="00286810" w:rsidP="004877F2">
            <w:pPr>
              <w:jc w:val="right"/>
              <w:rPr>
                <w:rFonts w:cstheme="minorHAnsi"/>
                <w:color w:val="000000"/>
                <w:sz w:val="16"/>
                <w:szCs w:val="16"/>
              </w:rPr>
            </w:pPr>
            <w:r w:rsidRPr="00066710">
              <w:rPr>
                <w:color w:val="000000"/>
                <w:sz w:val="16"/>
              </w:rPr>
              <w:t>127,913.8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14B5D5" w14:textId="77777777" w:rsidR="00286810" w:rsidRPr="00066710" w:rsidRDefault="00286810" w:rsidP="004877F2">
            <w:pPr>
              <w:jc w:val="right"/>
              <w:rPr>
                <w:rFonts w:cstheme="minorHAnsi"/>
                <w:color w:val="000000"/>
                <w:sz w:val="16"/>
                <w:szCs w:val="16"/>
              </w:rPr>
            </w:pPr>
            <w:r w:rsidRPr="00066710">
              <w:rPr>
                <w:color w:val="000000"/>
                <w:sz w:val="16"/>
              </w:rPr>
              <w:t>124,293.1</w:t>
            </w:r>
          </w:p>
        </w:tc>
        <w:tc>
          <w:tcPr>
            <w:tcW w:w="670" w:type="dxa"/>
            <w:tcBorders>
              <w:top w:val="nil"/>
              <w:left w:val="nil"/>
              <w:bottom w:val="single" w:sz="4" w:space="0" w:color="FFFFFF" w:themeColor="background1"/>
              <w:right w:val="nil"/>
            </w:tcBorders>
            <w:shd w:val="clear" w:color="auto" w:fill="auto"/>
            <w:noWrap/>
            <w:vAlign w:val="bottom"/>
            <w:hideMark/>
          </w:tcPr>
          <w:p w14:paraId="7E90A3F6" w14:textId="77777777" w:rsidR="00286810" w:rsidRPr="00066710" w:rsidRDefault="00286810" w:rsidP="004877F2">
            <w:pPr>
              <w:jc w:val="right"/>
              <w:rPr>
                <w:rFonts w:cstheme="minorHAnsi"/>
                <w:color w:val="000000"/>
                <w:sz w:val="16"/>
                <w:szCs w:val="16"/>
              </w:rPr>
            </w:pPr>
            <w:r w:rsidRPr="00066710">
              <w:rPr>
                <w:color w:val="000000"/>
                <w:sz w:val="16"/>
              </w:rPr>
              <w:t>-2.8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EF10AD" w14:textId="77777777" w:rsidR="00286810" w:rsidRPr="00066710" w:rsidRDefault="00286810" w:rsidP="004877F2">
            <w:pPr>
              <w:jc w:val="right"/>
              <w:rPr>
                <w:rFonts w:cstheme="minorHAnsi"/>
                <w:color w:val="000000"/>
                <w:sz w:val="16"/>
                <w:szCs w:val="16"/>
              </w:rPr>
            </w:pPr>
            <w:r w:rsidRPr="00066710">
              <w:rPr>
                <w:color w:val="000000"/>
                <w:sz w:val="16"/>
              </w:rPr>
              <w:t>69.7</w:t>
            </w:r>
          </w:p>
        </w:tc>
      </w:tr>
      <w:tr w:rsidR="00286810" w:rsidRPr="00066710" w14:paraId="52A0F02F"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55EDB11" w14:textId="77777777" w:rsidR="00286810" w:rsidRPr="00066710" w:rsidRDefault="00286810" w:rsidP="004877F2">
            <w:pPr>
              <w:rPr>
                <w:rFonts w:cstheme="minorHAnsi"/>
                <w:color w:val="000000"/>
                <w:sz w:val="16"/>
                <w:szCs w:val="16"/>
              </w:rPr>
            </w:pPr>
            <w:r w:rsidRPr="00066710">
              <w:rPr>
                <w:color w:val="000000"/>
                <w:sz w:val="16"/>
              </w:rPr>
              <w:t>Spain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306D1CC" w14:textId="77777777" w:rsidR="00286810" w:rsidRPr="00066710" w:rsidRDefault="00286810" w:rsidP="004877F2">
            <w:pPr>
              <w:jc w:val="right"/>
              <w:rPr>
                <w:rFonts w:cstheme="minorHAnsi"/>
                <w:color w:val="000000"/>
                <w:sz w:val="16"/>
                <w:szCs w:val="16"/>
              </w:rPr>
            </w:pPr>
            <w:r w:rsidRPr="00066710">
              <w:rPr>
                <w:color w:val="000000"/>
                <w:sz w:val="16"/>
              </w:rPr>
              <w:t>0.8</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7AB68E8" w14:textId="77777777" w:rsidR="00286810" w:rsidRPr="00066710" w:rsidRDefault="00286810" w:rsidP="004877F2">
            <w:pPr>
              <w:jc w:val="right"/>
              <w:rPr>
                <w:rFonts w:cstheme="minorHAnsi"/>
                <w:color w:val="000000"/>
                <w:sz w:val="16"/>
                <w:szCs w:val="16"/>
              </w:rPr>
            </w:pPr>
            <w:r w:rsidRPr="00066710">
              <w:rPr>
                <w:color w:val="000000"/>
                <w:sz w:val="16"/>
              </w:rPr>
              <w:t>10,122.6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5E47867" w14:textId="77777777" w:rsidR="00286810" w:rsidRPr="00066710" w:rsidRDefault="00286810" w:rsidP="004877F2">
            <w:pPr>
              <w:jc w:val="right"/>
              <w:rPr>
                <w:rFonts w:cstheme="minorHAnsi"/>
                <w:color w:val="000000"/>
                <w:sz w:val="16"/>
                <w:szCs w:val="16"/>
              </w:rPr>
            </w:pPr>
            <w:r w:rsidRPr="00066710">
              <w:rPr>
                <w:color w:val="000000"/>
                <w:sz w:val="16"/>
              </w:rPr>
              <w:t>11,100.6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8EBE561" w14:textId="77777777" w:rsidR="00286810" w:rsidRPr="00066710" w:rsidRDefault="00286810" w:rsidP="004877F2">
            <w:pPr>
              <w:jc w:val="right"/>
              <w:rPr>
                <w:rFonts w:cstheme="minorHAnsi"/>
                <w:color w:val="000000"/>
                <w:sz w:val="16"/>
                <w:szCs w:val="16"/>
              </w:rPr>
            </w:pPr>
            <w:r w:rsidRPr="00066710">
              <w:rPr>
                <w:color w:val="000000"/>
                <w:sz w:val="16"/>
              </w:rPr>
              <w:t>9.7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CB8B89" w14:textId="77777777" w:rsidR="00286810" w:rsidRPr="00066710" w:rsidRDefault="00286810" w:rsidP="004877F2">
            <w:pPr>
              <w:jc w:val="right"/>
              <w:rPr>
                <w:rFonts w:cstheme="minorHAnsi"/>
                <w:color w:val="000000"/>
                <w:sz w:val="16"/>
                <w:szCs w:val="16"/>
              </w:rPr>
            </w:pPr>
            <w:r w:rsidRPr="00066710">
              <w:rPr>
                <w:color w:val="000000"/>
                <w:sz w:val="16"/>
              </w:rPr>
              <w:t>2.4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B4E3AF" w14:textId="77777777" w:rsidR="00286810" w:rsidRPr="00066710" w:rsidRDefault="00286810" w:rsidP="004877F2">
            <w:pPr>
              <w:jc w:val="right"/>
              <w:rPr>
                <w:rFonts w:cstheme="minorHAnsi"/>
                <w:color w:val="000000"/>
                <w:sz w:val="16"/>
                <w:szCs w:val="16"/>
              </w:rPr>
            </w:pPr>
            <w:r w:rsidRPr="00066710">
              <w:rPr>
                <w:color w:val="000000"/>
                <w:sz w:val="16"/>
              </w:rPr>
              <w:t>14,194.5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8F6D0B" w14:textId="77777777" w:rsidR="00286810" w:rsidRPr="00066710" w:rsidRDefault="00286810" w:rsidP="004877F2">
            <w:pPr>
              <w:jc w:val="right"/>
              <w:rPr>
                <w:rFonts w:cstheme="minorHAnsi"/>
                <w:color w:val="000000"/>
                <w:sz w:val="16"/>
                <w:szCs w:val="16"/>
              </w:rPr>
            </w:pPr>
            <w:r w:rsidRPr="00066710">
              <w:rPr>
                <w:color w:val="000000"/>
                <w:sz w:val="16"/>
              </w:rPr>
              <w:t>20,505.8</w:t>
            </w:r>
          </w:p>
        </w:tc>
        <w:tc>
          <w:tcPr>
            <w:tcW w:w="670" w:type="dxa"/>
            <w:tcBorders>
              <w:top w:val="nil"/>
              <w:left w:val="nil"/>
              <w:bottom w:val="single" w:sz="4" w:space="0" w:color="FFFFFF" w:themeColor="background1"/>
              <w:right w:val="nil"/>
            </w:tcBorders>
            <w:shd w:val="clear" w:color="auto" w:fill="auto"/>
            <w:noWrap/>
            <w:vAlign w:val="bottom"/>
            <w:hideMark/>
          </w:tcPr>
          <w:p w14:paraId="465708E0" w14:textId="77777777" w:rsidR="00286810" w:rsidRPr="00066710" w:rsidRDefault="00286810" w:rsidP="004877F2">
            <w:pPr>
              <w:jc w:val="right"/>
              <w:rPr>
                <w:rFonts w:cstheme="minorHAnsi"/>
                <w:color w:val="000000"/>
                <w:sz w:val="16"/>
                <w:szCs w:val="16"/>
              </w:rPr>
            </w:pPr>
            <w:r w:rsidRPr="00066710">
              <w:rPr>
                <w:color w:val="000000"/>
                <w:sz w:val="16"/>
              </w:rPr>
              <w:t>44.5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FC56F7" w14:textId="77777777" w:rsidR="00286810" w:rsidRPr="00066710" w:rsidRDefault="00286810" w:rsidP="004877F2">
            <w:pPr>
              <w:jc w:val="right"/>
              <w:rPr>
                <w:rFonts w:cstheme="minorHAnsi"/>
                <w:color w:val="000000"/>
                <w:sz w:val="16"/>
                <w:szCs w:val="16"/>
              </w:rPr>
            </w:pPr>
            <w:r w:rsidRPr="00066710">
              <w:rPr>
                <w:color w:val="000000"/>
                <w:sz w:val="16"/>
              </w:rPr>
              <w:t>184.7</w:t>
            </w:r>
          </w:p>
        </w:tc>
      </w:tr>
      <w:tr w:rsidR="00286810" w:rsidRPr="00066710" w14:paraId="215EDA2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32B2C98" w14:textId="77777777" w:rsidR="00286810" w:rsidRPr="00066710" w:rsidRDefault="00286810" w:rsidP="004877F2">
            <w:pPr>
              <w:rPr>
                <w:rFonts w:cstheme="minorHAnsi"/>
                <w:color w:val="000000"/>
                <w:sz w:val="16"/>
                <w:szCs w:val="16"/>
              </w:rPr>
            </w:pPr>
            <w:r w:rsidRPr="00066710">
              <w:rPr>
                <w:color w:val="000000"/>
                <w:sz w:val="16"/>
              </w:rPr>
              <w:t>Italy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5A7DD0" w14:textId="77777777" w:rsidR="00286810" w:rsidRPr="00066710" w:rsidRDefault="00286810" w:rsidP="004877F2">
            <w:pPr>
              <w:jc w:val="right"/>
              <w:rPr>
                <w:rFonts w:cstheme="minorHAnsi"/>
                <w:color w:val="000000"/>
                <w:sz w:val="16"/>
                <w:szCs w:val="16"/>
              </w:rPr>
            </w:pPr>
            <w:r w:rsidRPr="00066710">
              <w:rPr>
                <w:color w:val="000000"/>
                <w:sz w:val="16"/>
              </w:rPr>
              <w:t>5.7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C99700D" w14:textId="77777777" w:rsidR="00286810" w:rsidRPr="00066710" w:rsidRDefault="00286810" w:rsidP="004877F2">
            <w:pPr>
              <w:jc w:val="right"/>
              <w:rPr>
                <w:rFonts w:cstheme="minorHAnsi"/>
                <w:color w:val="000000"/>
                <w:sz w:val="16"/>
                <w:szCs w:val="16"/>
              </w:rPr>
            </w:pPr>
            <w:r w:rsidRPr="00066710">
              <w:rPr>
                <w:color w:val="000000"/>
                <w:sz w:val="16"/>
              </w:rPr>
              <w:t>99,658.7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56C8B3F" w14:textId="77777777" w:rsidR="00286810" w:rsidRPr="00066710" w:rsidRDefault="00286810" w:rsidP="004877F2">
            <w:pPr>
              <w:jc w:val="right"/>
              <w:rPr>
                <w:rFonts w:cstheme="minorHAnsi"/>
                <w:color w:val="000000"/>
                <w:sz w:val="16"/>
                <w:szCs w:val="16"/>
              </w:rPr>
            </w:pPr>
            <w:r w:rsidRPr="00066710">
              <w:rPr>
                <w:color w:val="000000"/>
                <w:sz w:val="16"/>
              </w:rPr>
              <w:t>83,401.9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026D8B6" w14:textId="77777777" w:rsidR="00286810" w:rsidRPr="00066710" w:rsidRDefault="00286810" w:rsidP="004877F2">
            <w:pPr>
              <w:jc w:val="right"/>
              <w:rPr>
                <w:rFonts w:cstheme="minorHAnsi"/>
                <w:color w:val="000000"/>
                <w:sz w:val="16"/>
                <w:szCs w:val="16"/>
              </w:rPr>
            </w:pPr>
            <w:r w:rsidRPr="00066710">
              <w:rPr>
                <w:color w:val="000000"/>
                <w:sz w:val="16"/>
              </w:rPr>
              <w:t>-16.3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549C61" w14:textId="77777777" w:rsidR="00286810" w:rsidRPr="00066710" w:rsidRDefault="00286810" w:rsidP="004877F2">
            <w:pPr>
              <w:jc w:val="right"/>
              <w:rPr>
                <w:rFonts w:cstheme="minorHAnsi"/>
                <w:color w:val="000000"/>
                <w:sz w:val="16"/>
                <w:szCs w:val="16"/>
              </w:rPr>
            </w:pPr>
            <w:r w:rsidRPr="00066710">
              <w:rPr>
                <w:color w:val="000000"/>
                <w:sz w:val="16"/>
              </w:rPr>
              <w:t>2.1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FFFC0C" w14:textId="77777777" w:rsidR="00286810" w:rsidRPr="00066710" w:rsidRDefault="00286810" w:rsidP="004877F2">
            <w:pPr>
              <w:jc w:val="right"/>
              <w:rPr>
                <w:rFonts w:cstheme="minorHAnsi"/>
                <w:color w:val="000000"/>
                <w:sz w:val="16"/>
                <w:szCs w:val="16"/>
              </w:rPr>
            </w:pPr>
            <w:r w:rsidRPr="00066710">
              <w:rPr>
                <w:color w:val="000000"/>
                <w:sz w:val="16"/>
              </w:rPr>
              <w:t>21,312.4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7524C9" w14:textId="77777777" w:rsidR="00286810" w:rsidRPr="00066710" w:rsidRDefault="00286810" w:rsidP="004877F2">
            <w:pPr>
              <w:jc w:val="right"/>
              <w:rPr>
                <w:rFonts w:cstheme="minorHAnsi"/>
                <w:color w:val="000000"/>
                <w:sz w:val="16"/>
                <w:szCs w:val="16"/>
              </w:rPr>
            </w:pPr>
            <w:r w:rsidRPr="00066710">
              <w:rPr>
                <w:color w:val="000000"/>
                <w:sz w:val="16"/>
              </w:rPr>
              <w:t>17,896.2</w:t>
            </w:r>
          </w:p>
        </w:tc>
        <w:tc>
          <w:tcPr>
            <w:tcW w:w="670" w:type="dxa"/>
            <w:tcBorders>
              <w:top w:val="nil"/>
              <w:left w:val="nil"/>
              <w:bottom w:val="single" w:sz="4" w:space="0" w:color="FFFFFF" w:themeColor="background1"/>
              <w:right w:val="nil"/>
            </w:tcBorders>
            <w:shd w:val="clear" w:color="auto" w:fill="auto"/>
            <w:noWrap/>
            <w:vAlign w:val="bottom"/>
            <w:hideMark/>
          </w:tcPr>
          <w:p w14:paraId="4D111759" w14:textId="77777777" w:rsidR="00286810" w:rsidRPr="00066710" w:rsidRDefault="00286810" w:rsidP="004877F2">
            <w:pPr>
              <w:jc w:val="right"/>
              <w:rPr>
                <w:rFonts w:cstheme="minorHAnsi"/>
                <w:color w:val="000000"/>
                <w:sz w:val="16"/>
                <w:szCs w:val="16"/>
              </w:rPr>
            </w:pPr>
            <w:r w:rsidRPr="00066710">
              <w:rPr>
                <w:color w:val="000000"/>
                <w:sz w:val="16"/>
              </w:rPr>
              <w:t>-16.0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3B99391" w14:textId="77777777" w:rsidR="00286810" w:rsidRPr="00066710" w:rsidRDefault="00286810" w:rsidP="004877F2">
            <w:pPr>
              <w:jc w:val="right"/>
              <w:rPr>
                <w:rFonts w:cstheme="minorHAnsi"/>
                <w:color w:val="000000"/>
                <w:sz w:val="16"/>
                <w:szCs w:val="16"/>
              </w:rPr>
            </w:pPr>
            <w:r w:rsidRPr="00066710">
              <w:rPr>
                <w:color w:val="000000"/>
                <w:sz w:val="16"/>
              </w:rPr>
              <w:t>21.5</w:t>
            </w:r>
          </w:p>
        </w:tc>
      </w:tr>
      <w:tr w:rsidR="00286810" w:rsidRPr="00066710" w14:paraId="30649C1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EE4A22D" w14:textId="77777777" w:rsidR="00286810" w:rsidRPr="00066710" w:rsidRDefault="00286810" w:rsidP="004877F2">
            <w:pPr>
              <w:rPr>
                <w:rFonts w:cstheme="minorHAnsi"/>
                <w:color w:val="000000"/>
                <w:sz w:val="16"/>
                <w:szCs w:val="16"/>
              </w:rPr>
            </w:pPr>
            <w:r w:rsidRPr="00066710">
              <w:rPr>
                <w:color w:val="000000"/>
                <w:sz w:val="16"/>
              </w:rPr>
              <w:t>Luxembourg</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42E6A2C"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3ABDAF2" w14:textId="77777777" w:rsidR="00286810" w:rsidRPr="00066710" w:rsidRDefault="00286810" w:rsidP="004877F2">
            <w:pPr>
              <w:jc w:val="right"/>
              <w:rPr>
                <w:rFonts w:cstheme="minorHAnsi"/>
                <w:color w:val="000000"/>
                <w:sz w:val="16"/>
                <w:szCs w:val="16"/>
              </w:rPr>
            </w:pPr>
            <w:r w:rsidRPr="00066710">
              <w:rPr>
                <w:color w:val="000000"/>
                <w:sz w:val="16"/>
              </w:rPr>
              <w:t>1,191.9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2FB6243" w14:textId="77777777" w:rsidR="00286810" w:rsidRPr="00066710" w:rsidRDefault="00286810" w:rsidP="004877F2">
            <w:pPr>
              <w:jc w:val="right"/>
              <w:rPr>
                <w:rFonts w:cstheme="minorHAnsi"/>
                <w:color w:val="000000"/>
                <w:sz w:val="16"/>
                <w:szCs w:val="16"/>
              </w:rPr>
            </w:pPr>
            <w:r w:rsidRPr="00066710">
              <w:rPr>
                <w:color w:val="000000"/>
                <w:sz w:val="16"/>
              </w:rPr>
              <w:t>1,107.9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0F570FE" w14:textId="77777777" w:rsidR="00286810" w:rsidRPr="00066710" w:rsidRDefault="00286810" w:rsidP="004877F2">
            <w:pPr>
              <w:jc w:val="right"/>
              <w:rPr>
                <w:rFonts w:cstheme="minorHAnsi"/>
                <w:color w:val="000000"/>
                <w:sz w:val="16"/>
                <w:szCs w:val="16"/>
              </w:rPr>
            </w:pPr>
            <w:r w:rsidRPr="00066710">
              <w:rPr>
                <w:color w:val="000000"/>
                <w:sz w:val="16"/>
              </w:rPr>
              <w:t>-7.1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FC9326" w14:textId="77777777" w:rsidR="00286810" w:rsidRPr="00066710" w:rsidRDefault="00286810" w:rsidP="004877F2">
            <w:pPr>
              <w:jc w:val="right"/>
              <w:rPr>
                <w:rFonts w:cstheme="minorHAnsi"/>
                <w:color w:val="000000"/>
                <w:sz w:val="16"/>
                <w:szCs w:val="16"/>
              </w:rPr>
            </w:pPr>
            <w:r w:rsidRPr="00066710">
              <w:rPr>
                <w:color w:val="000000"/>
                <w:sz w:val="16"/>
              </w:rPr>
              <w:t>1.6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A5C83C" w14:textId="77777777" w:rsidR="00286810" w:rsidRPr="00066710" w:rsidRDefault="00286810" w:rsidP="004877F2">
            <w:pPr>
              <w:jc w:val="right"/>
              <w:rPr>
                <w:rFonts w:cstheme="minorHAnsi"/>
                <w:color w:val="000000"/>
                <w:sz w:val="16"/>
                <w:szCs w:val="16"/>
              </w:rPr>
            </w:pPr>
            <w:r w:rsidRPr="00066710">
              <w:rPr>
                <w:color w:val="000000"/>
                <w:sz w:val="16"/>
              </w:rPr>
              <w:t>15,888.0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FF7ED1" w14:textId="77777777" w:rsidR="00286810" w:rsidRPr="00066710" w:rsidRDefault="00286810" w:rsidP="004877F2">
            <w:pPr>
              <w:jc w:val="right"/>
              <w:rPr>
                <w:rFonts w:cstheme="minorHAnsi"/>
                <w:color w:val="000000"/>
                <w:sz w:val="16"/>
                <w:szCs w:val="16"/>
              </w:rPr>
            </w:pPr>
            <w:r w:rsidRPr="00066710">
              <w:rPr>
                <w:color w:val="000000"/>
                <w:sz w:val="16"/>
              </w:rPr>
              <w:t>14,042.2</w:t>
            </w:r>
          </w:p>
        </w:tc>
        <w:tc>
          <w:tcPr>
            <w:tcW w:w="670" w:type="dxa"/>
            <w:tcBorders>
              <w:top w:val="nil"/>
              <w:left w:val="nil"/>
              <w:bottom w:val="single" w:sz="4" w:space="0" w:color="FFFFFF" w:themeColor="background1"/>
              <w:right w:val="nil"/>
            </w:tcBorders>
            <w:shd w:val="clear" w:color="auto" w:fill="auto"/>
            <w:noWrap/>
            <w:vAlign w:val="bottom"/>
            <w:hideMark/>
          </w:tcPr>
          <w:p w14:paraId="6CB0DA4F" w14:textId="77777777" w:rsidR="00286810" w:rsidRPr="00066710" w:rsidRDefault="00286810" w:rsidP="004877F2">
            <w:pPr>
              <w:jc w:val="right"/>
              <w:rPr>
                <w:rFonts w:cstheme="minorHAnsi"/>
                <w:color w:val="000000"/>
                <w:sz w:val="16"/>
                <w:szCs w:val="16"/>
              </w:rPr>
            </w:pPr>
            <w:r w:rsidRPr="00066710">
              <w:rPr>
                <w:color w:val="000000"/>
                <w:sz w:val="16"/>
              </w:rPr>
              <w:t>-11.6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B4065A" w14:textId="77777777" w:rsidR="00286810" w:rsidRPr="00066710" w:rsidRDefault="00286810" w:rsidP="004877F2">
            <w:pPr>
              <w:jc w:val="right"/>
              <w:rPr>
                <w:rFonts w:cstheme="minorHAnsi"/>
                <w:color w:val="000000"/>
                <w:sz w:val="16"/>
                <w:szCs w:val="16"/>
              </w:rPr>
            </w:pPr>
            <w:r w:rsidRPr="00066710">
              <w:rPr>
                <w:color w:val="000000"/>
                <w:sz w:val="16"/>
              </w:rPr>
              <w:t>1,267.5</w:t>
            </w:r>
          </w:p>
        </w:tc>
      </w:tr>
      <w:tr w:rsidR="00286810" w:rsidRPr="00066710" w14:paraId="5095D3C6"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EC3E4D6" w14:textId="77777777" w:rsidR="00286810" w:rsidRPr="00066710" w:rsidRDefault="00286810" w:rsidP="004877F2">
            <w:pPr>
              <w:rPr>
                <w:rFonts w:cstheme="minorHAnsi"/>
                <w:color w:val="000000"/>
                <w:sz w:val="16"/>
                <w:szCs w:val="16"/>
              </w:rPr>
            </w:pPr>
            <w:r w:rsidRPr="00066710">
              <w:rPr>
                <w:color w:val="000000"/>
                <w:sz w:val="16"/>
              </w:rPr>
              <w:t>Poland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C2EA31B" w14:textId="77777777" w:rsidR="00286810" w:rsidRPr="00066710" w:rsidRDefault="00286810" w:rsidP="004877F2">
            <w:pPr>
              <w:jc w:val="right"/>
              <w:rPr>
                <w:rFonts w:cstheme="minorHAnsi"/>
                <w:color w:val="000000"/>
                <w:sz w:val="16"/>
                <w:szCs w:val="16"/>
              </w:rPr>
            </w:pPr>
            <w:r w:rsidRPr="00066710">
              <w:rPr>
                <w:color w:val="000000"/>
                <w:sz w:val="16"/>
              </w:rPr>
              <w:t>7.2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43439F3" w14:textId="77777777" w:rsidR="00286810" w:rsidRPr="00066710" w:rsidRDefault="00286810" w:rsidP="004877F2">
            <w:pPr>
              <w:jc w:val="right"/>
              <w:rPr>
                <w:rFonts w:cstheme="minorHAnsi"/>
                <w:color w:val="000000"/>
                <w:sz w:val="16"/>
                <w:szCs w:val="16"/>
              </w:rPr>
            </w:pPr>
            <w:r w:rsidRPr="00066710">
              <w:rPr>
                <w:color w:val="000000"/>
                <w:sz w:val="16"/>
              </w:rPr>
              <w:t>120,152.3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29FCB69" w14:textId="77777777" w:rsidR="00286810" w:rsidRPr="00066710" w:rsidRDefault="00286810" w:rsidP="004877F2">
            <w:pPr>
              <w:jc w:val="right"/>
              <w:rPr>
                <w:rFonts w:cstheme="minorHAnsi"/>
                <w:color w:val="000000"/>
                <w:sz w:val="16"/>
                <w:szCs w:val="16"/>
              </w:rPr>
            </w:pPr>
            <w:r w:rsidRPr="00066710">
              <w:rPr>
                <w:color w:val="000000"/>
                <w:sz w:val="16"/>
              </w:rPr>
              <w:t>106,176.2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74B5476" w14:textId="77777777" w:rsidR="00286810" w:rsidRPr="00066710" w:rsidRDefault="00286810" w:rsidP="004877F2">
            <w:pPr>
              <w:jc w:val="right"/>
              <w:rPr>
                <w:rFonts w:cstheme="minorHAnsi"/>
                <w:color w:val="000000"/>
                <w:sz w:val="16"/>
                <w:szCs w:val="16"/>
              </w:rPr>
            </w:pPr>
            <w:r w:rsidRPr="00066710">
              <w:rPr>
                <w:color w:val="000000"/>
                <w:sz w:val="16"/>
              </w:rPr>
              <w:t>-11.6</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F3FA21" w14:textId="77777777" w:rsidR="00286810" w:rsidRPr="00066710" w:rsidRDefault="00286810" w:rsidP="004877F2">
            <w:pPr>
              <w:jc w:val="right"/>
              <w:rPr>
                <w:rFonts w:cstheme="minorHAnsi"/>
                <w:color w:val="000000"/>
                <w:sz w:val="16"/>
                <w:szCs w:val="16"/>
              </w:rPr>
            </w:pPr>
            <w:r w:rsidRPr="00066710">
              <w:rPr>
                <w:color w:val="000000"/>
                <w:sz w:val="16"/>
              </w:rPr>
              <w:t>1.0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CF6D80" w14:textId="77777777" w:rsidR="00286810" w:rsidRPr="00066710" w:rsidRDefault="00286810" w:rsidP="004877F2">
            <w:pPr>
              <w:jc w:val="right"/>
              <w:rPr>
                <w:rFonts w:cstheme="minorHAnsi"/>
                <w:color w:val="000000"/>
                <w:sz w:val="16"/>
                <w:szCs w:val="16"/>
              </w:rPr>
            </w:pPr>
            <w:r w:rsidRPr="00066710">
              <w:rPr>
                <w:color w:val="000000"/>
                <w:sz w:val="16"/>
              </w:rPr>
              <w:t>11,577.5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A8931A" w14:textId="77777777" w:rsidR="00286810" w:rsidRPr="00066710" w:rsidRDefault="00286810" w:rsidP="004877F2">
            <w:pPr>
              <w:jc w:val="right"/>
              <w:rPr>
                <w:rFonts w:cstheme="minorHAnsi"/>
                <w:color w:val="000000"/>
                <w:sz w:val="16"/>
                <w:szCs w:val="16"/>
              </w:rPr>
            </w:pPr>
            <w:r w:rsidRPr="00066710">
              <w:rPr>
                <w:color w:val="000000"/>
                <w:sz w:val="16"/>
              </w:rPr>
              <w:t>8,929.3</w:t>
            </w:r>
          </w:p>
        </w:tc>
        <w:tc>
          <w:tcPr>
            <w:tcW w:w="670" w:type="dxa"/>
            <w:tcBorders>
              <w:top w:val="nil"/>
              <w:left w:val="nil"/>
              <w:bottom w:val="single" w:sz="4" w:space="0" w:color="FFFFFF" w:themeColor="background1"/>
              <w:right w:val="nil"/>
            </w:tcBorders>
            <w:shd w:val="clear" w:color="auto" w:fill="auto"/>
            <w:noWrap/>
            <w:vAlign w:val="bottom"/>
            <w:hideMark/>
          </w:tcPr>
          <w:p w14:paraId="132030DA" w14:textId="77777777" w:rsidR="00286810" w:rsidRPr="00066710" w:rsidRDefault="00286810" w:rsidP="004877F2">
            <w:pPr>
              <w:jc w:val="right"/>
              <w:rPr>
                <w:rFonts w:cstheme="minorHAnsi"/>
                <w:color w:val="000000"/>
                <w:sz w:val="16"/>
                <w:szCs w:val="16"/>
              </w:rPr>
            </w:pPr>
            <w:r w:rsidRPr="00066710">
              <w:rPr>
                <w:color w:val="000000"/>
                <w:sz w:val="16"/>
              </w:rPr>
              <w:t>-22.9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4FEDDF5" w14:textId="77777777" w:rsidR="00286810" w:rsidRPr="00066710" w:rsidRDefault="00286810" w:rsidP="004877F2">
            <w:pPr>
              <w:jc w:val="right"/>
              <w:rPr>
                <w:rFonts w:cstheme="minorHAnsi"/>
                <w:color w:val="000000"/>
                <w:sz w:val="16"/>
                <w:szCs w:val="16"/>
              </w:rPr>
            </w:pPr>
            <w:r w:rsidRPr="00066710">
              <w:rPr>
                <w:color w:val="000000"/>
                <w:sz w:val="16"/>
              </w:rPr>
              <w:t>8.4</w:t>
            </w:r>
          </w:p>
        </w:tc>
      </w:tr>
      <w:tr w:rsidR="00286810" w:rsidRPr="00066710" w14:paraId="6952B0C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EEA2F9E" w14:textId="77777777" w:rsidR="00286810" w:rsidRPr="00066710" w:rsidRDefault="00286810" w:rsidP="004877F2">
            <w:pPr>
              <w:rPr>
                <w:rFonts w:cstheme="minorHAnsi"/>
                <w:color w:val="000000"/>
                <w:sz w:val="16"/>
                <w:szCs w:val="16"/>
              </w:rPr>
            </w:pPr>
            <w:r w:rsidRPr="00066710">
              <w:rPr>
                <w:color w:val="000000"/>
                <w:sz w:val="16"/>
              </w:rPr>
              <w:t>Ireland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9318E5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D2DDC66" w14:textId="77777777" w:rsidR="00286810" w:rsidRPr="00066710" w:rsidRDefault="00286810" w:rsidP="004877F2">
            <w:pPr>
              <w:jc w:val="right"/>
              <w:rPr>
                <w:rFonts w:cstheme="minorHAnsi"/>
                <w:color w:val="000000"/>
                <w:sz w:val="16"/>
                <w:szCs w:val="16"/>
              </w:rPr>
            </w:pPr>
            <w:r w:rsidRPr="00066710">
              <w:rPr>
                <w:color w:val="000000"/>
                <w:sz w:val="16"/>
              </w:rPr>
              <w:t>1,510.1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36CEB28" w14:textId="77777777" w:rsidR="00286810" w:rsidRPr="00066710" w:rsidRDefault="00286810" w:rsidP="004877F2">
            <w:pPr>
              <w:jc w:val="right"/>
              <w:rPr>
                <w:rFonts w:cstheme="minorHAnsi"/>
                <w:color w:val="000000"/>
                <w:sz w:val="16"/>
                <w:szCs w:val="16"/>
              </w:rPr>
            </w:pPr>
            <w:r w:rsidRPr="00066710">
              <w:rPr>
                <w:color w:val="000000"/>
                <w:sz w:val="16"/>
              </w:rPr>
              <w:t>479.0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486168E" w14:textId="77777777" w:rsidR="00286810" w:rsidRPr="00066710" w:rsidRDefault="00286810" w:rsidP="004877F2">
            <w:pPr>
              <w:jc w:val="right"/>
              <w:rPr>
                <w:rFonts w:cstheme="minorHAnsi"/>
                <w:color w:val="000000"/>
                <w:sz w:val="16"/>
                <w:szCs w:val="16"/>
              </w:rPr>
            </w:pPr>
            <w:r w:rsidRPr="00066710">
              <w:rPr>
                <w:color w:val="000000"/>
                <w:sz w:val="16"/>
              </w:rPr>
              <w:t>-68.3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1C01D5" w14:textId="77777777" w:rsidR="00286810" w:rsidRPr="00066710" w:rsidRDefault="00286810" w:rsidP="004877F2">
            <w:pPr>
              <w:jc w:val="right"/>
              <w:rPr>
                <w:rFonts w:cstheme="minorHAnsi"/>
                <w:color w:val="000000"/>
                <w:sz w:val="16"/>
                <w:szCs w:val="16"/>
              </w:rPr>
            </w:pPr>
            <w:r w:rsidRPr="00066710">
              <w:rPr>
                <w:color w:val="000000"/>
                <w:sz w:val="16"/>
              </w:rPr>
              <w:t>1.0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7EFD5A" w14:textId="77777777" w:rsidR="00286810" w:rsidRPr="00066710" w:rsidRDefault="00286810" w:rsidP="004877F2">
            <w:pPr>
              <w:jc w:val="right"/>
              <w:rPr>
                <w:rFonts w:cstheme="minorHAnsi"/>
                <w:color w:val="000000"/>
                <w:sz w:val="16"/>
                <w:szCs w:val="16"/>
              </w:rPr>
            </w:pPr>
            <w:r w:rsidRPr="00066710">
              <w:rPr>
                <w:color w:val="000000"/>
                <w:sz w:val="16"/>
              </w:rPr>
              <w:t>8,215.1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CA4FA5" w14:textId="77777777" w:rsidR="00286810" w:rsidRPr="00066710" w:rsidRDefault="00286810" w:rsidP="004877F2">
            <w:pPr>
              <w:jc w:val="right"/>
              <w:rPr>
                <w:rFonts w:cstheme="minorHAnsi"/>
                <w:color w:val="000000"/>
                <w:sz w:val="16"/>
                <w:szCs w:val="16"/>
              </w:rPr>
            </w:pPr>
            <w:r w:rsidRPr="00066710">
              <w:rPr>
                <w:color w:val="000000"/>
                <w:sz w:val="16"/>
              </w:rPr>
              <w:t>8,614.4</w:t>
            </w:r>
          </w:p>
        </w:tc>
        <w:tc>
          <w:tcPr>
            <w:tcW w:w="670" w:type="dxa"/>
            <w:tcBorders>
              <w:top w:val="nil"/>
              <w:left w:val="nil"/>
              <w:bottom w:val="single" w:sz="4" w:space="0" w:color="FFFFFF" w:themeColor="background1"/>
              <w:right w:val="nil"/>
            </w:tcBorders>
            <w:shd w:val="clear" w:color="auto" w:fill="auto"/>
            <w:noWrap/>
            <w:vAlign w:val="bottom"/>
            <w:hideMark/>
          </w:tcPr>
          <w:p w14:paraId="7E5E40C8" w14:textId="77777777" w:rsidR="00286810" w:rsidRPr="00066710" w:rsidRDefault="00286810" w:rsidP="004877F2">
            <w:pPr>
              <w:jc w:val="right"/>
              <w:rPr>
                <w:rFonts w:cstheme="minorHAnsi"/>
                <w:color w:val="000000"/>
                <w:sz w:val="16"/>
                <w:szCs w:val="16"/>
              </w:rPr>
            </w:pPr>
            <w:r w:rsidRPr="00066710">
              <w:rPr>
                <w:color w:val="000000"/>
                <w:sz w:val="16"/>
              </w:rPr>
              <w:t>4.9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0E842AE" w14:textId="77777777" w:rsidR="00286810" w:rsidRPr="00066710" w:rsidRDefault="00286810" w:rsidP="004877F2">
            <w:pPr>
              <w:jc w:val="right"/>
              <w:rPr>
                <w:rFonts w:cstheme="minorHAnsi"/>
                <w:color w:val="000000"/>
                <w:sz w:val="16"/>
                <w:szCs w:val="16"/>
              </w:rPr>
            </w:pPr>
            <w:r w:rsidRPr="00066710">
              <w:rPr>
                <w:color w:val="000000"/>
                <w:sz w:val="16"/>
              </w:rPr>
              <w:t>1,798.6</w:t>
            </w:r>
          </w:p>
        </w:tc>
      </w:tr>
      <w:tr w:rsidR="00286810" w:rsidRPr="00066710" w14:paraId="615A71E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4558D08" w14:textId="77777777" w:rsidR="00286810" w:rsidRPr="00066710" w:rsidRDefault="00286810" w:rsidP="004877F2">
            <w:pPr>
              <w:rPr>
                <w:rFonts w:cstheme="minorHAnsi"/>
                <w:color w:val="000000"/>
                <w:sz w:val="16"/>
                <w:szCs w:val="16"/>
              </w:rPr>
            </w:pPr>
            <w:r w:rsidRPr="00066710">
              <w:rPr>
                <w:color w:val="000000"/>
                <w:sz w:val="16"/>
              </w:rPr>
              <w:t>Austria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11021B5"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2E9E043" w14:textId="77777777" w:rsidR="00286810" w:rsidRPr="00066710" w:rsidRDefault="00286810" w:rsidP="004877F2">
            <w:pPr>
              <w:jc w:val="right"/>
              <w:rPr>
                <w:rFonts w:cstheme="minorHAnsi"/>
                <w:color w:val="000000"/>
                <w:sz w:val="16"/>
                <w:szCs w:val="16"/>
              </w:rPr>
            </w:pPr>
            <w:r w:rsidRPr="00066710">
              <w:rPr>
                <w:color w:val="000000"/>
                <w:sz w:val="16"/>
              </w:rPr>
              <w:t>5,792.4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14D5D6E" w14:textId="77777777" w:rsidR="00286810" w:rsidRPr="00066710" w:rsidRDefault="00286810" w:rsidP="004877F2">
            <w:pPr>
              <w:jc w:val="right"/>
              <w:rPr>
                <w:rFonts w:cstheme="minorHAnsi"/>
                <w:color w:val="000000"/>
                <w:sz w:val="16"/>
                <w:szCs w:val="16"/>
              </w:rPr>
            </w:pPr>
            <w:r w:rsidRPr="00066710">
              <w:rPr>
                <w:color w:val="000000"/>
                <w:sz w:val="16"/>
              </w:rPr>
              <w:t>2,906.1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0062A43" w14:textId="77777777" w:rsidR="00286810" w:rsidRPr="00066710" w:rsidRDefault="00286810" w:rsidP="004877F2">
            <w:pPr>
              <w:jc w:val="right"/>
              <w:rPr>
                <w:rFonts w:cstheme="minorHAnsi"/>
                <w:color w:val="000000"/>
                <w:sz w:val="16"/>
                <w:szCs w:val="16"/>
              </w:rPr>
            </w:pPr>
            <w:r w:rsidRPr="00066710">
              <w:rPr>
                <w:color w:val="000000"/>
                <w:sz w:val="16"/>
              </w:rPr>
              <w:t>-49.8</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903C5C" w14:textId="77777777" w:rsidR="00286810" w:rsidRPr="00066710" w:rsidRDefault="00286810" w:rsidP="004877F2">
            <w:pPr>
              <w:jc w:val="right"/>
              <w:rPr>
                <w:rFonts w:cstheme="minorHAnsi"/>
                <w:color w:val="000000"/>
                <w:sz w:val="16"/>
                <w:szCs w:val="16"/>
              </w:rPr>
            </w:pPr>
            <w:r w:rsidRPr="00066710">
              <w:rPr>
                <w:color w:val="000000"/>
                <w:sz w:val="16"/>
              </w:rPr>
              <w:t>0.8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685E1B" w14:textId="77777777" w:rsidR="00286810" w:rsidRPr="00066710" w:rsidRDefault="00286810" w:rsidP="004877F2">
            <w:pPr>
              <w:jc w:val="right"/>
              <w:rPr>
                <w:rFonts w:cstheme="minorHAnsi"/>
                <w:color w:val="000000"/>
                <w:sz w:val="16"/>
                <w:szCs w:val="16"/>
              </w:rPr>
            </w:pPr>
            <w:r w:rsidRPr="00066710">
              <w:rPr>
                <w:color w:val="000000"/>
                <w:sz w:val="16"/>
              </w:rPr>
              <w:t>6,788.9</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EEECA1" w14:textId="77777777" w:rsidR="00286810" w:rsidRPr="00066710" w:rsidRDefault="00286810" w:rsidP="004877F2">
            <w:pPr>
              <w:jc w:val="right"/>
              <w:rPr>
                <w:rFonts w:cstheme="minorHAnsi"/>
                <w:color w:val="000000"/>
                <w:sz w:val="16"/>
                <w:szCs w:val="16"/>
              </w:rPr>
            </w:pPr>
            <w:r w:rsidRPr="00066710">
              <w:rPr>
                <w:color w:val="000000"/>
                <w:sz w:val="16"/>
              </w:rPr>
              <w:t>6,530.7</w:t>
            </w:r>
          </w:p>
        </w:tc>
        <w:tc>
          <w:tcPr>
            <w:tcW w:w="670" w:type="dxa"/>
            <w:tcBorders>
              <w:top w:val="nil"/>
              <w:left w:val="nil"/>
              <w:bottom w:val="single" w:sz="4" w:space="0" w:color="FFFFFF" w:themeColor="background1"/>
              <w:right w:val="nil"/>
            </w:tcBorders>
            <w:shd w:val="clear" w:color="auto" w:fill="auto"/>
            <w:noWrap/>
            <w:vAlign w:val="bottom"/>
            <w:hideMark/>
          </w:tcPr>
          <w:p w14:paraId="59F8A684" w14:textId="77777777" w:rsidR="00286810" w:rsidRPr="00066710" w:rsidRDefault="00286810" w:rsidP="004877F2">
            <w:pPr>
              <w:jc w:val="right"/>
              <w:rPr>
                <w:rFonts w:cstheme="minorHAnsi"/>
                <w:color w:val="000000"/>
                <w:sz w:val="16"/>
                <w:szCs w:val="16"/>
              </w:rPr>
            </w:pPr>
            <w:r w:rsidRPr="00066710">
              <w:rPr>
                <w:color w:val="000000"/>
                <w:sz w:val="16"/>
              </w:rPr>
              <w:t>-3.8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319017A" w14:textId="77777777" w:rsidR="00286810" w:rsidRPr="00066710" w:rsidRDefault="00286810" w:rsidP="004877F2">
            <w:pPr>
              <w:jc w:val="right"/>
              <w:rPr>
                <w:rFonts w:cstheme="minorHAnsi"/>
                <w:color w:val="000000"/>
                <w:sz w:val="16"/>
                <w:szCs w:val="16"/>
              </w:rPr>
            </w:pPr>
            <w:r w:rsidRPr="00066710">
              <w:rPr>
                <w:color w:val="000000"/>
                <w:sz w:val="16"/>
              </w:rPr>
              <w:t>224.7</w:t>
            </w:r>
          </w:p>
        </w:tc>
      </w:tr>
      <w:tr w:rsidR="00286810" w:rsidRPr="00066710" w14:paraId="2FCFAE6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5D05074" w14:textId="77777777" w:rsidR="00286810" w:rsidRPr="00066710" w:rsidRDefault="00286810" w:rsidP="004877F2">
            <w:pPr>
              <w:rPr>
                <w:rFonts w:cstheme="minorHAnsi"/>
                <w:color w:val="000000"/>
                <w:sz w:val="16"/>
                <w:szCs w:val="16"/>
              </w:rPr>
            </w:pPr>
            <w:r w:rsidRPr="00066710">
              <w:rPr>
                <w:color w:val="000000"/>
                <w:sz w:val="16"/>
              </w:rPr>
              <w:t>Portugal</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3AB726C"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3514B82" w14:textId="77777777" w:rsidR="00286810" w:rsidRPr="00066710" w:rsidRDefault="00286810" w:rsidP="004877F2">
            <w:pPr>
              <w:jc w:val="right"/>
              <w:rPr>
                <w:rFonts w:cstheme="minorHAnsi"/>
                <w:color w:val="000000"/>
                <w:sz w:val="16"/>
                <w:szCs w:val="16"/>
              </w:rPr>
            </w:pPr>
            <w:r w:rsidRPr="00066710">
              <w:rPr>
                <w:color w:val="000000"/>
                <w:sz w:val="16"/>
              </w:rPr>
              <w:t>5,634.2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0CAB5DC" w14:textId="77777777" w:rsidR="00286810" w:rsidRPr="00066710" w:rsidRDefault="00286810" w:rsidP="004877F2">
            <w:pPr>
              <w:jc w:val="right"/>
              <w:rPr>
                <w:rFonts w:cstheme="minorHAnsi"/>
                <w:color w:val="000000"/>
                <w:sz w:val="16"/>
                <w:szCs w:val="16"/>
              </w:rPr>
            </w:pPr>
            <w:r w:rsidRPr="00066710">
              <w:rPr>
                <w:color w:val="000000"/>
                <w:sz w:val="16"/>
              </w:rPr>
              <w:t>3,479.7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BAF8786" w14:textId="77777777" w:rsidR="00286810" w:rsidRPr="00066710" w:rsidRDefault="00286810" w:rsidP="004877F2">
            <w:pPr>
              <w:jc w:val="right"/>
              <w:rPr>
                <w:rFonts w:cstheme="minorHAnsi"/>
                <w:color w:val="000000"/>
                <w:sz w:val="16"/>
                <w:szCs w:val="16"/>
              </w:rPr>
            </w:pPr>
            <w:r w:rsidRPr="00066710">
              <w:rPr>
                <w:color w:val="000000"/>
                <w:sz w:val="16"/>
              </w:rPr>
              <w:t>-38.2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EEE7E9" w14:textId="77777777" w:rsidR="00286810" w:rsidRPr="00066710" w:rsidRDefault="00286810" w:rsidP="004877F2">
            <w:pPr>
              <w:jc w:val="right"/>
              <w:rPr>
                <w:rFonts w:cstheme="minorHAnsi"/>
                <w:color w:val="000000"/>
                <w:sz w:val="16"/>
                <w:szCs w:val="16"/>
              </w:rPr>
            </w:pPr>
            <w:r w:rsidRPr="00066710">
              <w:rPr>
                <w:color w:val="000000"/>
                <w:sz w:val="16"/>
              </w:rPr>
              <w:t>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43B362" w14:textId="77777777" w:rsidR="00286810" w:rsidRPr="00066710" w:rsidRDefault="00286810" w:rsidP="004877F2">
            <w:pPr>
              <w:jc w:val="right"/>
              <w:rPr>
                <w:rFonts w:cstheme="minorHAnsi"/>
                <w:color w:val="000000"/>
                <w:sz w:val="16"/>
                <w:szCs w:val="16"/>
              </w:rPr>
            </w:pPr>
            <w:r w:rsidRPr="00066710">
              <w:rPr>
                <w:color w:val="000000"/>
                <w:sz w:val="16"/>
              </w:rPr>
              <w:t>5,139.8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4572FE" w14:textId="77777777" w:rsidR="00286810" w:rsidRPr="00066710" w:rsidRDefault="00286810" w:rsidP="004877F2">
            <w:pPr>
              <w:jc w:val="right"/>
              <w:rPr>
                <w:rFonts w:cstheme="minorHAnsi"/>
                <w:color w:val="000000"/>
                <w:sz w:val="16"/>
                <w:szCs w:val="16"/>
              </w:rPr>
            </w:pPr>
            <w:r w:rsidRPr="00066710">
              <w:rPr>
                <w:color w:val="000000"/>
                <w:sz w:val="16"/>
              </w:rPr>
              <w:t>4,687.1</w:t>
            </w:r>
          </w:p>
        </w:tc>
        <w:tc>
          <w:tcPr>
            <w:tcW w:w="670" w:type="dxa"/>
            <w:tcBorders>
              <w:top w:val="nil"/>
              <w:left w:val="nil"/>
              <w:bottom w:val="single" w:sz="4" w:space="0" w:color="FFFFFF" w:themeColor="background1"/>
              <w:right w:val="nil"/>
            </w:tcBorders>
            <w:shd w:val="clear" w:color="auto" w:fill="auto"/>
            <w:noWrap/>
            <w:vAlign w:val="bottom"/>
            <w:hideMark/>
          </w:tcPr>
          <w:p w14:paraId="1E59638D" w14:textId="77777777" w:rsidR="00286810" w:rsidRPr="00066710" w:rsidRDefault="00286810" w:rsidP="004877F2">
            <w:pPr>
              <w:jc w:val="right"/>
              <w:rPr>
                <w:rFonts w:cstheme="minorHAnsi"/>
                <w:color w:val="000000"/>
                <w:sz w:val="16"/>
                <w:szCs w:val="16"/>
              </w:rPr>
            </w:pPr>
            <w:r w:rsidRPr="00066710">
              <w:rPr>
                <w:color w:val="000000"/>
                <w:sz w:val="16"/>
              </w:rPr>
              <w:t>-8.8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64CEA91" w14:textId="77777777" w:rsidR="00286810" w:rsidRPr="00066710" w:rsidRDefault="00286810" w:rsidP="004877F2">
            <w:pPr>
              <w:jc w:val="right"/>
              <w:rPr>
                <w:rFonts w:cstheme="minorHAnsi"/>
                <w:color w:val="000000"/>
                <w:sz w:val="16"/>
                <w:szCs w:val="16"/>
              </w:rPr>
            </w:pPr>
            <w:r w:rsidRPr="00066710">
              <w:rPr>
                <w:color w:val="000000"/>
                <w:sz w:val="16"/>
              </w:rPr>
              <w:t>134.7</w:t>
            </w:r>
          </w:p>
        </w:tc>
      </w:tr>
      <w:tr w:rsidR="00286810" w:rsidRPr="00066710" w14:paraId="1A2EE1A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D630E5F" w14:textId="77777777" w:rsidR="00286810" w:rsidRPr="00066710" w:rsidRDefault="00286810" w:rsidP="004877F2">
            <w:pPr>
              <w:rPr>
                <w:rFonts w:cstheme="minorHAnsi"/>
                <w:color w:val="000000"/>
                <w:sz w:val="16"/>
                <w:szCs w:val="16"/>
              </w:rPr>
            </w:pPr>
            <w:r w:rsidRPr="00066710">
              <w:rPr>
                <w:color w:val="000000"/>
                <w:sz w:val="16"/>
              </w:rPr>
              <w:t>Sweden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C2B21A2" w14:textId="77777777" w:rsidR="00286810" w:rsidRPr="00066710" w:rsidRDefault="00286810" w:rsidP="004877F2">
            <w:pPr>
              <w:jc w:val="right"/>
              <w:rPr>
                <w:rFonts w:cstheme="minorHAnsi"/>
                <w:color w:val="000000"/>
                <w:sz w:val="16"/>
                <w:szCs w:val="16"/>
              </w:rPr>
            </w:pPr>
            <w:r w:rsidRPr="00066710">
              <w:rPr>
                <w:color w:val="000000"/>
                <w:sz w:val="16"/>
              </w:rPr>
              <w:t>1.2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DB63CDC" w14:textId="77777777" w:rsidR="00286810" w:rsidRPr="00066710" w:rsidRDefault="00286810" w:rsidP="004877F2">
            <w:pPr>
              <w:jc w:val="right"/>
              <w:rPr>
                <w:rFonts w:cstheme="minorHAnsi"/>
                <w:color w:val="000000"/>
                <w:sz w:val="16"/>
                <w:szCs w:val="16"/>
              </w:rPr>
            </w:pPr>
            <w:r w:rsidRPr="00066710">
              <w:rPr>
                <w:color w:val="000000"/>
                <w:sz w:val="16"/>
              </w:rPr>
              <w:t>22,152.9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349AB3F" w14:textId="77777777" w:rsidR="00286810" w:rsidRPr="00066710" w:rsidRDefault="00286810" w:rsidP="004877F2">
            <w:pPr>
              <w:jc w:val="right"/>
              <w:rPr>
                <w:rFonts w:cstheme="minorHAnsi"/>
                <w:color w:val="000000"/>
                <w:sz w:val="16"/>
                <w:szCs w:val="16"/>
              </w:rPr>
            </w:pPr>
            <w:r w:rsidRPr="00066710">
              <w:rPr>
                <w:color w:val="000000"/>
                <w:sz w:val="16"/>
              </w:rPr>
              <w:t>17,354.5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C3B7C3C" w14:textId="77777777" w:rsidR="00286810" w:rsidRPr="00066710" w:rsidRDefault="00286810" w:rsidP="004877F2">
            <w:pPr>
              <w:jc w:val="right"/>
              <w:rPr>
                <w:rFonts w:cstheme="minorHAnsi"/>
                <w:color w:val="000000"/>
                <w:sz w:val="16"/>
                <w:szCs w:val="16"/>
              </w:rPr>
            </w:pPr>
            <w:r w:rsidRPr="00066710">
              <w:rPr>
                <w:color w:val="000000"/>
                <w:sz w:val="16"/>
              </w:rPr>
              <w:t>-21.7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19D64D" w14:textId="77777777" w:rsidR="00286810" w:rsidRPr="00066710" w:rsidRDefault="00286810" w:rsidP="004877F2">
            <w:pPr>
              <w:jc w:val="right"/>
              <w:rPr>
                <w:rFonts w:cstheme="minorHAnsi"/>
                <w:color w:val="000000"/>
                <w:sz w:val="16"/>
                <w:szCs w:val="16"/>
              </w:rPr>
            </w:pPr>
            <w:r w:rsidRPr="00066710">
              <w:rPr>
                <w:color w:val="000000"/>
                <w:sz w:val="16"/>
              </w:rPr>
              <w:t>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3F0CE8" w14:textId="77777777" w:rsidR="00286810" w:rsidRPr="00066710" w:rsidRDefault="00286810" w:rsidP="004877F2">
            <w:pPr>
              <w:jc w:val="right"/>
              <w:rPr>
                <w:rFonts w:cstheme="minorHAnsi"/>
                <w:color w:val="000000"/>
                <w:sz w:val="16"/>
                <w:szCs w:val="16"/>
              </w:rPr>
            </w:pPr>
            <w:r w:rsidRPr="00066710">
              <w:rPr>
                <w:color w:val="000000"/>
                <w:sz w:val="16"/>
              </w:rPr>
              <w:t>7,170.5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DEFE51" w14:textId="77777777" w:rsidR="00286810" w:rsidRPr="00066710" w:rsidRDefault="00286810" w:rsidP="004877F2">
            <w:pPr>
              <w:jc w:val="right"/>
              <w:rPr>
                <w:rFonts w:cstheme="minorHAnsi"/>
                <w:color w:val="000000"/>
                <w:sz w:val="16"/>
                <w:szCs w:val="16"/>
              </w:rPr>
            </w:pPr>
            <w:r w:rsidRPr="00066710">
              <w:rPr>
                <w:color w:val="000000"/>
                <w:sz w:val="16"/>
              </w:rPr>
              <w:t>4,674.8</w:t>
            </w:r>
          </w:p>
        </w:tc>
        <w:tc>
          <w:tcPr>
            <w:tcW w:w="670" w:type="dxa"/>
            <w:tcBorders>
              <w:top w:val="nil"/>
              <w:left w:val="nil"/>
              <w:bottom w:val="single" w:sz="4" w:space="0" w:color="FFFFFF" w:themeColor="background1"/>
              <w:right w:val="nil"/>
            </w:tcBorders>
            <w:shd w:val="clear" w:color="auto" w:fill="auto"/>
            <w:noWrap/>
            <w:vAlign w:val="bottom"/>
            <w:hideMark/>
          </w:tcPr>
          <w:p w14:paraId="7DCF41B0" w14:textId="77777777" w:rsidR="00286810" w:rsidRPr="00066710" w:rsidRDefault="00286810" w:rsidP="004877F2">
            <w:pPr>
              <w:jc w:val="right"/>
              <w:rPr>
                <w:rFonts w:cstheme="minorHAnsi"/>
                <w:color w:val="000000"/>
                <w:sz w:val="16"/>
                <w:szCs w:val="16"/>
              </w:rPr>
            </w:pPr>
            <w:r w:rsidRPr="00066710">
              <w:rPr>
                <w:color w:val="000000"/>
                <w:sz w:val="16"/>
              </w:rPr>
              <w:t>-34.8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17FC18" w14:textId="77777777" w:rsidR="00286810" w:rsidRPr="00066710" w:rsidRDefault="00286810" w:rsidP="004877F2">
            <w:pPr>
              <w:jc w:val="right"/>
              <w:rPr>
                <w:rFonts w:cstheme="minorHAnsi"/>
                <w:color w:val="000000"/>
                <w:sz w:val="16"/>
                <w:szCs w:val="16"/>
              </w:rPr>
            </w:pPr>
            <w:r w:rsidRPr="00066710">
              <w:rPr>
                <w:color w:val="000000"/>
                <w:sz w:val="16"/>
              </w:rPr>
              <w:t>26.9</w:t>
            </w:r>
          </w:p>
        </w:tc>
      </w:tr>
      <w:tr w:rsidR="00286810" w:rsidRPr="00066710" w14:paraId="4A536AD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392F78B" w14:textId="77777777" w:rsidR="00286810" w:rsidRPr="00066710" w:rsidRDefault="00286810" w:rsidP="004877F2">
            <w:pPr>
              <w:rPr>
                <w:rFonts w:cstheme="minorHAnsi"/>
                <w:color w:val="000000"/>
                <w:sz w:val="16"/>
                <w:szCs w:val="16"/>
              </w:rPr>
            </w:pPr>
            <w:r w:rsidRPr="00066710">
              <w:rPr>
                <w:color w:val="000000"/>
                <w:sz w:val="16"/>
              </w:rPr>
              <w:t>Czech Republic</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82F545C" w14:textId="77777777" w:rsidR="00286810" w:rsidRPr="00066710" w:rsidRDefault="00286810" w:rsidP="004877F2">
            <w:pPr>
              <w:jc w:val="right"/>
              <w:rPr>
                <w:rFonts w:cstheme="minorHAnsi"/>
                <w:color w:val="000000"/>
                <w:sz w:val="16"/>
                <w:szCs w:val="16"/>
              </w:rPr>
            </w:pPr>
            <w:r w:rsidRPr="00066710">
              <w:rPr>
                <w:color w:val="000000"/>
                <w:sz w:val="16"/>
              </w:rPr>
              <w:t>0.8</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AC3FE21" w14:textId="77777777" w:rsidR="00286810" w:rsidRPr="00066710" w:rsidRDefault="00286810" w:rsidP="004877F2">
            <w:pPr>
              <w:jc w:val="right"/>
              <w:rPr>
                <w:rFonts w:cstheme="minorHAnsi"/>
                <w:color w:val="000000"/>
                <w:sz w:val="16"/>
                <w:szCs w:val="16"/>
              </w:rPr>
            </w:pPr>
            <w:r w:rsidRPr="00066710">
              <w:rPr>
                <w:color w:val="000000"/>
                <w:sz w:val="16"/>
              </w:rPr>
              <w:t>35,172.4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BF8EE02" w14:textId="77777777" w:rsidR="00286810" w:rsidRPr="00066710" w:rsidRDefault="00286810" w:rsidP="004877F2">
            <w:pPr>
              <w:jc w:val="right"/>
              <w:rPr>
                <w:rFonts w:cstheme="minorHAnsi"/>
                <w:color w:val="000000"/>
                <w:sz w:val="16"/>
                <w:szCs w:val="16"/>
              </w:rPr>
            </w:pPr>
            <w:r w:rsidRPr="00066710">
              <w:rPr>
                <w:color w:val="000000"/>
                <w:sz w:val="16"/>
              </w:rPr>
              <w:t>11,856.5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7CFC181" w14:textId="77777777" w:rsidR="00286810" w:rsidRPr="00066710" w:rsidRDefault="00286810" w:rsidP="004877F2">
            <w:pPr>
              <w:jc w:val="right"/>
              <w:rPr>
                <w:rFonts w:cstheme="minorHAnsi"/>
                <w:color w:val="000000"/>
                <w:sz w:val="16"/>
                <w:szCs w:val="16"/>
              </w:rPr>
            </w:pPr>
            <w:r w:rsidRPr="00066710">
              <w:rPr>
                <w:color w:val="000000"/>
                <w:sz w:val="16"/>
              </w:rPr>
              <w:t>-66.3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3F5898" w14:textId="77777777" w:rsidR="00286810" w:rsidRPr="00066710" w:rsidRDefault="00286810" w:rsidP="004877F2">
            <w:pPr>
              <w:jc w:val="right"/>
              <w:rPr>
                <w:rFonts w:cstheme="minorHAnsi"/>
                <w:color w:val="000000"/>
                <w:sz w:val="16"/>
                <w:szCs w:val="16"/>
              </w:rPr>
            </w:pPr>
            <w:r w:rsidRPr="00066710">
              <w:rPr>
                <w:color w:val="000000"/>
                <w:sz w:val="16"/>
              </w:rPr>
              <w:t>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3673D3" w14:textId="77777777" w:rsidR="00286810" w:rsidRPr="00066710" w:rsidRDefault="00286810" w:rsidP="004877F2">
            <w:pPr>
              <w:jc w:val="right"/>
              <w:rPr>
                <w:rFonts w:cstheme="minorHAnsi"/>
                <w:color w:val="000000"/>
                <w:sz w:val="16"/>
                <w:szCs w:val="16"/>
              </w:rPr>
            </w:pPr>
            <w:r w:rsidRPr="00066710">
              <w:rPr>
                <w:color w:val="000000"/>
                <w:sz w:val="16"/>
              </w:rPr>
              <w:t>4,734.3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060666" w14:textId="77777777" w:rsidR="00286810" w:rsidRPr="00066710" w:rsidRDefault="00286810" w:rsidP="004877F2">
            <w:pPr>
              <w:jc w:val="right"/>
              <w:rPr>
                <w:rFonts w:cstheme="minorHAnsi"/>
                <w:color w:val="000000"/>
                <w:sz w:val="16"/>
                <w:szCs w:val="16"/>
              </w:rPr>
            </w:pPr>
            <w:r w:rsidRPr="00066710">
              <w:rPr>
                <w:color w:val="000000"/>
                <w:sz w:val="16"/>
              </w:rPr>
              <w:t>4,267.4</w:t>
            </w:r>
          </w:p>
        </w:tc>
        <w:tc>
          <w:tcPr>
            <w:tcW w:w="670" w:type="dxa"/>
            <w:tcBorders>
              <w:top w:val="nil"/>
              <w:left w:val="nil"/>
              <w:bottom w:val="single" w:sz="4" w:space="0" w:color="FFFFFF" w:themeColor="background1"/>
              <w:right w:val="nil"/>
            </w:tcBorders>
            <w:shd w:val="clear" w:color="auto" w:fill="auto"/>
            <w:noWrap/>
            <w:vAlign w:val="bottom"/>
            <w:hideMark/>
          </w:tcPr>
          <w:p w14:paraId="7F3038FD" w14:textId="77777777" w:rsidR="00286810" w:rsidRPr="00066710" w:rsidRDefault="00286810" w:rsidP="004877F2">
            <w:pPr>
              <w:jc w:val="right"/>
              <w:rPr>
                <w:rFonts w:cstheme="minorHAnsi"/>
                <w:color w:val="000000"/>
                <w:sz w:val="16"/>
                <w:szCs w:val="16"/>
              </w:rPr>
            </w:pPr>
            <w:r w:rsidRPr="00066710">
              <w:rPr>
                <w:color w:val="000000"/>
                <w:sz w:val="16"/>
              </w:rPr>
              <w:t>-9.9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07479E" w14:textId="77777777" w:rsidR="00286810" w:rsidRPr="00066710" w:rsidRDefault="00286810" w:rsidP="004877F2">
            <w:pPr>
              <w:jc w:val="right"/>
              <w:rPr>
                <w:rFonts w:cstheme="minorHAnsi"/>
                <w:color w:val="000000"/>
                <w:sz w:val="16"/>
                <w:szCs w:val="16"/>
              </w:rPr>
            </w:pPr>
            <w:r w:rsidRPr="00066710">
              <w:rPr>
                <w:color w:val="000000"/>
                <w:sz w:val="16"/>
              </w:rPr>
              <w:t>36.0</w:t>
            </w:r>
          </w:p>
        </w:tc>
      </w:tr>
      <w:tr w:rsidR="00286810" w:rsidRPr="00066710" w14:paraId="5021C47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D35957C" w14:textId="77777777" w:rsidR="00286810" w:rsidRPr="00066710" w:rsidRDefault="00286810" w:rsidP="004877F2">
            <w:pPr>
              <w:rPr>
                <w:rFonts w:cstheme="minorHAnsi"/>
                <w:color w:val="000000"/>
                <w:sz w:val="16"/>
                <w:szCs w:val="16"/>
              </w:rPr>
            </w:pPr>
            <w:r w:rsidRPr="00066710">
              <w:rPr>
                <w:color w:val="000000"/>
                <w:sz w:val="16"/>
              </w:rPr>
              <w:t>Denmark</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BB4B3C8" w14:textId="77777777" w:rsidR="00286810" w:rsidRPr="00066710" w:rsidRDefault="00286810" w:rsidP="004877F2">
            <w:pPr>
              <w:jc w:val="right"/>
              <w:rPr>
                <w:rFonts w:cstheme="minorHAnsi"/>
                <w:color w:val="000000"/>
                <w:sz w:val="16"/>
                <w:szCs w:val="16"/>
              </w:rPr>
            </w:pPr>
            <w:r w:rsidRPr="00066710">
              <w:rPr>
                <w:color w:val="000000"/>
                <w:sz w:val="16"/>
              </w:rPr>
              <w:t>1.8</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E61AB57" w14:textId="77777777" w:rsidR="00286810" w:rsidRPr="00066710" w:rsidRDefault="00286810" w:rsidP="004877F2">
            <w:pPr>
              <w:jc w:val="right"/>
              <w:rPr>
                <w:rFonts w:cstheme="minorHAnsi"/>
                <w:color w:val="000000"/>
                <w:sz w:val="16"/>
                <w:szCs w:val="16"/>
              </w:rPr>
            </w:pPr>
            <w:r w:rsidRPr="00066710">
              <w:rPr>
                <w:color w:val="000000"/>
                <w:sz w:val="16"/>
              </w:rPr>
              <w:t>25,553.3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3F6FE78" w14:textId="77777777" w:rsidR="00286810" w:rsidRPr="00066710" w:rsidRDefault="00286810" w:rsidP="004877F2">
            <w:pPr>
              <w:jc w:val="right"/>
              <w:rPr>
                <w:rFonts w:cstheme="minorHAnsi"/>
                <w:color w:val="000000"/>
                <w:sz w:val="16"/>
                <w:szCs w:val="16"/>
              </w:rPr>
            </w:pPr>
            <w:r w:rsidRPr="00066710">
              <w:rPr>
                <w:color w:val="000000"/>
                <w:sz w:val="16"/>
              </w:rPr>
              <w:t>26,921.6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58D47F0" w14:textId="77777777" w:rsidR="00286810" w:rsidRPr="00066710" w:rsidRDefault="00286810" w:rsidP="004877F2">
            <w:pPr>
              <w:jc w:val="right"/>
              <w:rPr>
                <w:rFonts w:cstheme="minorHAnsi"/>
                <w:color w:val="000000"/>
                <w:sz w:val="16"/>
                <w:szCs w:val="16"/>
              </w:rPr>
            </w:pPr>
            <w:r w:rsidRPr="00066710">
              <w:rPr>
                <w:color w:val="000000"/>
                <w:sz w:val="16"/>
              </w:rPr>
              <w:t>5.4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0DB640" w14:textId="77777777" w:rsidR="00286810" w:rsidRPr="00066710" w:rsidRDefault="00286810" w:rsidP="004877F2">
            <w:pPr>
              <w:jc w:val="right"/>
              <w:rPr>
                <w:rFonts w:cstheme="minorHAnsi"/>
                <w:color w:val="000000"/>
                <w:sz w:val="16"/>
                <w:szCs w:val="16"/>
              </w:rPr>
            </w:pPr>
            <w:r w:rsidRPr="00066710">
              <w:rPr>
                <w:color w:val="000000"/>
                <w:sz w:val="16"/>
              </w:rPr>
              <w:t>0.4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159CF3" w14:textId="77777777" w:rsidR="00286810" w:rsidRPr="00066710" w:rsidRDefault="00286810" w:rsidP="004877F2">
            <w:pPr>
              <w:jc w:val="right"/>
              <w:rPr>
                <w:rFonts w:cstheme="minorHAnsi"/>
                <w:color w:val="000000"/>
                <w:sz w:val="16"/>
                <w:szCs w:val="16"/>
              </w:rPr>
            </w:pPr>
            <w:r w:rsidRPr="00066710">
              <w:rPr>
                <w:color w:val="000000"/>
                <w:sz w:val="16"/>
              </w:rPr>
              <w:t>4,318.3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32FF19" w14:textId="77777777" w:rsidR="00286810" w:rsidRPr="00066710" w:rsidRDefault="00286810" w:rsidP="004877F2">
            <w:pPr>
              <w:jc w:val="right"/>
              <w:rPr>
                <w:rFonts w:cstheme="minorHAnsi"/>
                <w:color w:val="000000"/>
                <w:sz w:val="16"/>
                <w:szCs w:val="16"/>
              </w:rPr>
            </w:pPr>
            <w:r w:rsidRPr="00066710">
              <w:rPr>
                <w:color w:val="000000"/>
                <w:sz w:val="16"/>
              </w:rPr>
              <w:t>3,722.9</w:t>
            </w:r>
          </w:p>
        </w:tc>
        <w:tc>
          <w:tcPr>
            <w:tcW w:w="670" w:type="dxa"/>
            <w:tcBorders>
              <w:top w:val="nil"/>
              <w:left w:val="nil"/>
              <w:bottom w:val="single" w:sz="4" w:space="0" w:color="FFFFFF" w:themeColor="background1"/>
              <w:right w:val="nil"/>
            </w:tcBorders>
            <w:shd w:val="clear" w:color="auto" w:fill="auto"/>
            <w:noWrap/>
            <w:vAlign w:val="bottom"/>
            <w:hideMark/>
          </w:tcPr>
          <w:p w14:paraId="407166B5" w14:textId="77777777" w:rsidR="00286810" w:rsidRPr="00066710" w:rsidRDefault="00286810" w:rsidP="004877F2">
            <w:pPr>
              <w:jc w:val="right"/>
              <w:rPr>
                <w:rFonts w:cstheme="minorHAnsi"/>
                <w:color w:val="000000"/>
                <w:sz w:val="16"/>
                <w:szCs w:val="16"/>
              </w:rPr>
            </w:pPr>
            <w:r w:rsidRPr="00066710">
              <w:rPr>
                <w:color w:val="000000"/>
                <w:sz w:val="16"/>
              </w:rPr>
              <w:t>-13.8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97DF4B6" w14:textId="77777777" w:rsidR="00286810" w:rsidRPr="00066710" w:rsidRDefault="00286810" w:rsidP="004877F2">
            <w:pPr>
              <w:jc w:val="right"/>
              <w:rPr>
                <w:rFonts w:cstheme="minorHAnsi"/>
                <w:color w:val="000000"/>
                <w:sz w:val="16"/>
                <w:szCs w:val="16"/>
              </w:rPr>
            </w:pPr>
            <w:r w:rsidRPr="00066710">
              <w:rPr>
                <w:color w:val="000000"/>
                <w:sz w:val="16"/>
              </w:rPr>
              <w:t>13.8</w:t>
            </w:r>
          </w:p>
        </w:tc>
      </w:tr>
      <w:tr w:rsidR="00286810" w:rsidRPr="00066710" w14:paraId="6210FDF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A7B7EC5" w14:textId="77777777" w:rsidR="00286810" w:rsidRPr="00066710" w:rsidRDefault="00286810" w:rsidP="004877F2">
            <w:pPr>
              <w:rPr>
                <w:rFonts w:cstheme="minorHAnsi"/>
                <w:color w:val="000000"/>
                <w:sz w:val="16"/>
                <w:szCs w:val="16"/>
              </w:rPr>
            </w:pPr>
            <w:r w:rsidRPr="00066710">
              <w:rPr>
                <w:color w:val="000000"/>
                <w:sz w:val="16"/>
              </w:rPr>
              <w:t>Lithuania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EBB2E79" w14:textId="77777777" w:rsidR="00286810" w:rsidRPr="00066710" w:rsidRDefault="00286810" w:rsidP="004877F2">
            <w:pPr>
              <w:jc w:val="right"/>
              <w:rPr>
                <w:rFonts w:cstheme="minorHAnsi"/>
                <w:color w:val="000000"/>
                <w:sz w:val="16"/>
                <w:szCs w:val="16"/>
              </w:rPr>
            </w:pPr>
            <w:r w:rsidRPr="00066710">
              <w:rPr>
                <w:color w:val="000000"/>
                <w:sz w:val="16"/>
              </w:rPr>
              <w:t>1.0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DF2A8CE" w14:textId="77777777" w:rsidR="00286810" w:rsidRPr="00066710" w:rsidRDefault="00286810" w:rsidP="004877F2">
            <w:pPr>
              <w:jc w:val="right"/>
              <w:rPr>
                <w:rFonts w:cstheme="minorHAnsi"/>
                <w:color w:val="000000"/>
                <w:sz w:val="16"/>
                <w:szCs w:val="16"/>
              </w:rPr>
            </w:pPr>
            <w:r w:rsidRPr="00066710">
              <w:rPr>
                <w:color w:val="000000"/>
                <w:sz w:val="16"/>
              </w:rPr>
              <w:t>12,472.1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142C04D" w14:textId="77777777" w:rsidR="00286810" w:rsidRPr="00066710" w:rsidRDefault="00286810" w:rsidP="004877F2">
            <w:pPr>
              <w:jc w:val="right"/>
              <w:rPr>
                <w:rFonts w:cstheme="minorHAnsi"/>
                <w:color w:val="000000"/>
                <w:sz w:val="16"/>
                <w:szCs w:val="16"/>
              </w:rPr>
            </w:pPr>
            <w:r w:rsidRPr="00066710">
              <w:rPr>
                <w:color w:val="000000"/>
                <w:sz w:val="16"/>
              </w:rPr>
              <w:t>13,970.8</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8D81F2B" w14:textId="77777777" w:rsidR="00286810" w:rsidRPr="00066710" w:rsidRDefault="00286810" w:rsidP="004877F2">
            <w:pPr>
              <w:jc w:val="right"/>
              <w:rPr>
                <w:rFonts w:cstheme="minorHAnsi"/>
                <w:color w:val="000000"/>
                <w:sz w:val="16"/>
                <w:szCs w:val="16"/>
              </w:rPr>
            </w:pPr>
            <w:r w:rsidRPr="00066710">
              <w:rPr>
                <w:color w:val="000000"/>
                <w:sz w:val="16"/>
              </w:rPr>
              <w:t>12.0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307C40"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1B95F8" w14:textId="77777777" w:rsidR="00286810" w:rsidRPr="00066710" w:rsidRDefault="00286810" w:rsidP="004877F2">
            <w:pPr>
              <w:jc w:val="right"/>
              <w:rPr>
                <w:rFonts w:cstheme="minorHAnsi"/>
                <w:color w:val="000000"/>
                <w:sz w:val="16"/>
                <w:szCs w:val="16"/>
              </w:rPr>
            </w:pPr>
            <w:r w:rsidRPr="00066710">
              <w:rPr>
                <w:color w:val="000000"/>
                <w:sz w:val="16"/>
              </w:rPr>
              <w:t>3,235.5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550217" w14:textId="77777777" w:rsidR="00286810" w:rsidRPr="00066710" w:rsidRDefault="00286810" w:rsidP="004877F2">
            <w:pPr>
              <w:jc w:val="right"/>
              <w:rPr>
                <w:rFonts w:cstheme="minorHAnsi"/>
                <w:color w:val="000000"/>
                <w:sz w:val="16"/>
                <w:szCs w:val="16"/>
              </w:rPr>
            </w:pPr>
            <w:r w:rsidRPr="00066710">
              <w:rPr>
                <w:color w:val="000000"/>
                <w:sz w:val="16"/>
              </w:rPr>
              <w:t>2,024.5</w:t>
            </w:r>
          </w:p>
        </w:tc>
        <w:tc>
          <w:tcPr>
            <w:tcW w:w="670" w:type="dxa"/>
            <w:tcBorders>
              <w:top w:val="nil"/>
              <w:left w:val="nil"/>
              <w:bottom w:val="single" w:sz="4" w:space="0" w:color="FFFFFF" w:themeColor="background1"/>
              <w:right w:val="nil"/>
            </w:tcBorders>
            <w:shd w:val="clear" w:color="auto" w:fill="auto"/>
            <w:noWrap/>
            <w:vAlign w:val="bottom"/>
            <w:hideMark/>
          </w:tcPr>
          <w:p w14:paraId="463E12A2" w14:textId="77777777" w:rsidR="00286810" w:rsidRPr="00066710" w:rsidRDefault="00286810" w:rsidP="004877F2">
            <w:pPr>
              <w:jc w:val="right"/>
              <w:rPr>
                <w:rFonts w:cstheme="minorHAnsi"/>
                <w:color w:val="000000"/>
                <w:sz w:val="16"/>
                <w:szCs w:val="16"/>
              </w:rPr>
            </w:pPr>
            <w:r w:rsidRPr="00066710">
              <w:rPr>
                <w:color w:val="000000"/>
                <w:sz w:val="16"/>
              </w:rPr>
              <w:t>-37.4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65DA85E" w14:textId="77777777" w:rsidR="00286810" w:rsidRPr="00066710" w:rsidRDefault="00286810" w:rsidP="004877F2">
            <w:pPr>
              <w:jc w:val="right"/>
              <w:rPr>
                <w:rFonts w:cstheme="minorHAnsi"/>
                <w:color w:val="000000"/>
                <w:sz w:val="16"/>
                <w:szCs w:val="16"/>
              </w:rPr>
            </w:pPr>
            <w:r w:rsidRPr="00066710">
              <w:rPr>
                <w:color w:val="000000"/>
                <w:sz w:val="16"/>
              </w:rPr>
              <w:t>14.5</w:t>
            </w:r>
          </w:p>
        </w:tc>
      </w:tr>
      <w:tr w:rsidR="00286810" w:rsidRPr="00066710" w14:paraId="1FFE0B4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0EC6C3C" w14:textId="77777777" w:rsidR="00286810" w:rsidRPr="00066710" w:rsidRDefault="00286810" w:rsidP="004877F2">
            <w:pPr>
              <w:rPr>
                <w:rFonts w:cstheme="minorHAnsi"/>
                <w:color w:val="000000"/>
                <w:sz w:val="16"/>
                <w:szCs w:val="16"/>
              </w:rPr>
            </w:pPr>
            <w:r w:rsidRPr="00066710">
              <w:rPr>
                <w:color w:val="000000"/>
                <w:sz w:val="16"/>
              </w:rPr>
              <w:t>Romania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90122C5" w14:textId="77777777" w:rsidR="00286810" w:rsidRPr="00066710" w:rsidRDefault="00286810" w:rsidP="004877F2">
            <w:pPr>
              <w:jc w:val="right"/>
              <w:rPr>
                <w:rFonts w:cstheme="minorHAnsi"/>
                <w:color w:val="000000"/>
                <w:sz w:val="16"/>
                <w:szCs w:val="16"/>
              </w:rPr>
            </w:pPr>
            <w:r w:rsidRPr="00066710">
              <w:rPr>
                <w:color w:val="000000"/>
                <w:sz w:val="16"/>
              </w:rPr>
              <w:t>2.0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B9FCBC3" w14:textId="77777777" w:rsidR="00286810" w:rsidRPr="00066710" w:rsidRDefault="00286810" w:rsidP="004877F2">
            <w:pPr>
              <w:jc w:val="right"/>
              <w:rPr>
                <w:rFonts w:cstheme="minorHAnsi"/>
                <w:color w:val="000000"/>
                <w:sz w:val="16"/>
                <w:szCs w:val="16"/>
              </w:rPr>
            </w:pPr>
            <w:r w:rsidRPr="00066710">
              <w:rPr>
                <w:color w:val="000000"/>
                <w:sz w:val="16"/>
              </w:rPr>
              <w:t>51,657.9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C58DCC5" w14:textId="77777777" w:rsidR="00286810" w:rsidRPr="00066710" w:rsidRDefault="00286810" w:rsidP="004877F2">
            <w:pPr>
              <w:jc w:val="right"/>
              <w:rPr>
                <w:rFonts w:cstheme="minorHAnsi"/>
                <w:color w:val="000000"/>
                <w:sz w:val="16"/>
                <w:szCs w:val="16"/>
              </w:rPr>
            </w:pPr>
            <w:r w:rsidRPr="00066710">
              <w:rPr>
                <w:color w:val="000000"/>
                <w:sz w:val="16"/>
              </w:rPr>
              <w:t>28,659.4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81A3EBF" w14:textId="77777777" w:rsidR="00286810" w:rsidRPr="00066710" w:rsidRDefault="00286810" w:rsidP="004877F2">
            <w:pPr>
              <w:jc w:val="right"/>
              <w:rPr>
                <w:rFonts w:cstheme="minorHAnsi"/>
                <w:color w:val="000000"/>
                <w:sz w:val="16"/>
                <w:szCs w:val="16"/>
              </w:rPr>
            </w:pPr>
            <w:r w:rsidRPr="00066710">
              <w:rPr>
                <w:color w:val="000000"/>
                <w:sz w:val="16"/>
              </w:rPr>
              <w:t>-44.5</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E5DC4E"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41A203" w14:textId="77777777" w:rsidR="00286810" w:rsidRPr="00066710" w:rsidRDefault="00286810" w:rsidP="004877F2">
            <w:pPr>
              <w:jc w:val="right"/>
              <w:rPr>
                <w:rFonts w:cstheme="minorHAnsi"/>
                <w:color w:val="000000"/>
                <w:sz w:val="16"/>
                <w:szCs w:val="16"/>
              </w:rPr>
            </w:pPr>
            <w:r w:rsidRPr="00066710">
              <w:rPr>
                <w:color w:val="000000"/>
                <w:sz w:val="16"/>
              </w:rPr>
              <w:t>1,925.1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F1025D" w14:textId="77777777" w:rsidR="00286810" w:rsidRPr="00066710" w:rsidRDefault="00286810" w:rsidP="004877F2">
            <w:pPr>
              <w:jc w:val="right"/>
              <w:rPr>
                <w:rFonts w:cstheme="minorHAnsi"/>
                <w:color w:val="000000"/>
                <w:sz w:val="16"/>
                <w:szCs w:val="16"/>
              </w:rPr>
            </w:pPr>
            <w:r w:rsidRPr="00066710">
              <w:rPr>
                <w:color w:val="000000"/>
                <w:sz w:val="16"/>
              </w:rPr>
              <w:t>2,017.3</w:t>
            </w:r>
          </w:p>
        </w:tc>
        <w:tc>
          <w:tcPr>
            <w:tcW w:w="670" w:type="dxa"/>
            <w:tcBorders>
              <w:top w:val="nil"/>
              <w:left w:val="nil"/>
              <w:bottom w:val="single" w:sz="4" w:space="0" w:color="FFFFFF" w:themeColor="background1"/>
              <w:right w:val="nil"/>
            </w:tcBorders>
            <w:shd w:val="clear" w:color="auto" w:fill="auto"/>
            <w:noWrap/>
            <w:vAlign w:val="bottom"/>
            <w:hideMark/>
          </w:tcPr>
          <w:p w14:paraId="52F4893E" w14:textId="77777777" w:rsidR="00286810" w:rsidRPr="00066710" w:rsidRDefault="00286810" w:rsidP="004877F2">
            <w:pPr>
              <w:jc w:val="right"/>
              <w:rPr>
                <w:rFonts w:cstheme="minorHAnsi"/>
                <w:color w:val="000000"/>
                <w:sz w:val="16"/>
                <w:szCs w:val="16"/>
              </w:rPr>
            </w:pPr>
            <w:r w:rsidRPr="00066710">
              <w:rPr>
                <w:color w:val="000000"/>
                <w:sz w:val="16"/>
              </w:rPr>
              <w:t>4.8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A41F91A" w14:textId="77777777" w:rsidR="00286810" w:rsidRPr="00066710" w:rsidRDefault="00286810" w:rsidP="004877F2">
            <w:pPr>
              <w:jc w:val="right"/>
              <w:rPr>
                <w:rFonts w:cstheme="minorHAnsi"/>
                <w:color w:val="000000"/>
                <w:sz w:val="16"/>
                <w:szCs w:val="16"/>
              </w:rPr>
            </w:pPr>
            <w:r w:rsidRPr="00066710">
              <w:rPr>
                <w:color w:val="000000"/>
                <w:sz w:val="16"/>
              </w:rPr>
              <w:t>7.0</w:t>
            </w:r>
          </w:p>
        </w:tc>
      </w:tr>
      <w:tr w:rsidR="00286810" w:rsidRPr="00066710" w14:paraId="07399EC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0044CEE" w14:textId="77777777" w:rsidR="00286810" w:rsidRPr="00066710" w:rsidRDefault="00286810" w:rsidP="004877F2">
            <w:pPr>
              <w:rPr>
                <w:rFonts w:cstheme="minorHAnsi"/>
                <w:color w:val="000000"/>
                <w:sz w:val="16"/>
                <w:szCs w:val="16"/>
              </w:rPr>
            </w:pPr>
            <w:r w:rsidRPr="00066710">
              <w:rPr>
                <w:color w:val="000000"/>
                <w:sz w:val="16"/>
              </w:rPr>
              <w:t>Greece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083CF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718EA44" w14:textId="77777777" w:rsidR="00286810" w:rsidRPr="00066710" w:rsidRDefault="00286810" w:rsidP="004877F2">
            <w:pPr>
              <w:jc w:val="right"/>
              <w:rPr>
                <w:rFonts w:cstheme="minorHAnsi"/>
                <w:color w:val="000000"/>
                <w:sz w:val="16"/>
                <w:szCs w:val="16"/>
              </w:rPr>
            </w:pPr>
            <w:r w:rsidRPr="00066710">
              <w:rPr>
                <w:color w:val="000000"/>
                <w:sz w:val="16"/>
              </w:rPr>
              <w:t>66.0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1DFEE45" w14:textId="77777777" w:rsidR="00286810" w:rsidRPr="00066710" w:rsidRDefault="00286810" w:rsidP="004877F2">
            <w:pPr>
              <w:jc w:val="right"/>
              <w:rPr>
                <w:rFonts w:cstheme="minorHAnsi"/>
                <w:color w:val="000000"/>
                <w:sz w:val="16"/>
                <w:szCs w:val="16"/>
              </w:rPr>
            </w:pPr>
            <w:r w:rsidRPr="00066710">
              <w:rPr>
                <w:color w:val="000000"/>
                <w:sz w:val="16"/>
              </w:rPr>
              <w:t>133.5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6C4B66A" w14:textId="77777777" w:rsidR="00286810" w:rsidRPr="00066710" w:rsidRDefault="00286810" w:rsidP="004877F2">
            <w:pPr>
              <w:jc w:val="right"/>
              <w:rPr>
                <w:rFonts w:cstheme="minorHAnsi"/>
                <w:color w:val="000000"/>
                <w:sz w:val="16"/>
                <w:szCs w:val="16"/>
              </w:rPr>
            </w:pPr>
            <w:r w:rsidRPr="00066710">
              <w:rPr>
                <w:color w:val="000000"/>
                <w:sz w:val="16"/>
              </w:rPr>
              <w:t>102.2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96E92F"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F7C8065" w14:textId="77777777" w:rsidR="00286810" w:rsidRPr="00066710" w:rsidRDefault="00286810" w:rsidP="004877F2">
            <w:pPr>
              <w:jc w:val="right"/>
              <w:rPr>
                <w:rFonts w:cstheme="minorHAnsi"/>
                <w:color w:val="000000"/>
                <w:sz w:val="16"/>
                <w:szCs w:val="16"/>
              </w:rPr>
            </w:pPr>
            <w:r w:rsidRPr="00066710">
              <w:rPr>
                <w:color w:val="000000"/>
                <w:sz w:val="16"/>
              </w:rPr>
              <w:t>1,344.2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56981B" w14:textId="77777777" w:rsidR="00286810" w:rsidRPr="00066710" w:rsidRDefault="00286810" w:rsidP="004877F2">
            <w:pPr>
              <w:jc w:val="right"/>
              <w:rPr>
                <w:rFonts w:cstheme="minorHAnsi"/>
                <w:color w:val="000000"/>
                <w:sz w:val="16"/>
                <w:szCs w:val="16"/>
              </w:rPr>
            </w:pPr>
            <w:r w:rsidRPr="00066710">
              <w:rPr>
                <w:color w:val="000000"/>
                <w:sz w:val="16"/>
              </w:rPr>
              <w:t>1,857.4</w:t>
            </w:r>
          </w:p>
        </w:tc>
        <w:tc>
          <w:tcPr>
            <w:tcW w:w="670" w:type="dxa"/>
            <w:tcBorders>
              <w:top w:val="nil"/>
              <w:left w:val="nil"/>
              <w:bottom w:val="single" w:sz="4" w:space="0" w:color="FFFFFF" w:themeColor="background1"/>
              <w:right w:val="nil"/>
            </w:tcBorders>
            <w:shd w:val="clear" w:color="auto" w:fill="auto"/>
            <w:noWrap/>
            <w:vAlign w:val="bottom"/>
            <w:hideMark/>
          </w:tcPr>
          <w:p w14:paraId="13160F90" w14:textId="77777777" w:rsidR="00286810" w:rsidRPr="00066710" w:rsidRDefault="00286810" w:rsidP="004877F2">
            <w:pPr>
              <w:jc w:val="right"/>
              <w:rPr>
                <w:rFonts w:cstheme="minorHAnsi"/>
                <w:color w:val="000000"/>
                <w:sz w:val="16"/>
                <w:szCs w:val="16"/>
              </w:rPr>
            </w:pPr>
            <w:r w:rsidRPr="00066710">
              <w:rPr>
                <w:color w:val="000000"/>
                <w:sz w:val="16"/>
              </w:rPr>
              <w:t>38.2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5FD34A" w14:textId="77777777" w:rsidR="00286810" w:rsidRPr="00066710" w:rsidRDefault="00286810" w:rsidP="004877F2">
            <w:pPr>
              <w:jc w:val="right"/>
              <w:rPr>
                <w:rFonts w:cstheme="minorHAnsi"/>
                <w:color w:val="000000"/>
                <w:sz w:val="16"/>
                <w:szCs w:val="16"/>
              </w:rPr>
            </w:pPr>
            <w:r w:rsidRPr="00066710">
              <w:rPr>
                <w:color w:val="000000"/>
                <w:sz w:val="16"/>
              </w:rPr>
              <w:t>1,391.1</w:t>
            </w:r>
          </w:p>
        </w:tc>
      </w:tr>
      <w:tr w:rsidR="00286810" w:rsidRPr="00066710" w14:paraId="059247E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88C99B9" w14:textId="77777777" w:rsidR="00286810" w:rsidRPr="00066710" w:rsidRDefault="00286810" w:rsidP="004877F2">
            <w:pPr>
              <w:rPr>
                <w:rFonts w:cstheme="minorHAnsi"/>
                <w:color w:val="000000"/>
                <w:sz w:val="16"/>
                <w:szCs w:val="16"/>
              </w:rPr>
            </w:pPr>
            <w:r w:rsidRPr="00066710">
              <w:rPr>
                <w:color w:val="000000"/>
                <w:sz w:val="16"/>
              </w:rPr>
              <w:t>Hungary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4F223D9"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8562D45" w14:textId="77777777" w:rsidR="00286810" w:rsidRPr="00066710" w:rsidRDefault="00286810" w:rsidP="004877F2">
            <w:pPr>
              <w:jc w:val="right"/>
              <w:rPr>
                <w:rFonts w:cstheme="minorHAnsi"/>
                <w:color w:val="000000"/>
                <w:sz w:val="16"/>
                <w:szCs w:val="16"/>
              </w:rPr>
            </w:pPr>
            <w:r w:rsidRPr="00066710">
              <w:rPr>
                <w:color w:val="000000"/>
                <w:sz w:val="16"/>
              </w:rPr>
              <w:t>11,383.7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D13B06B" w14:textId="77777777" w:rsidR="00286810" w:rsidRPr="00066710" w:rsidRDefault="00286810" w:rsidP="004877F2">
            <w:pPr>
              <w:jc w:val="right"/>
              <w:rPr>
                <w:rFonts w:cstheme="minorHAnsi"/>
                <w:color w:val="000000"/>
                <w:sz w:val="16"/>
                <w:szCs w:val="16"/>
              </w:rPr>
            </w:pPr>
            <w:r w:rsidRPr="00066710">
              <w:rPr>
                <w:color w:val="000000"/>
                <w:sz w:val="16"/>
              </w:rPr>
              <w:t>3,213.0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763D87C" w14:textId="77777777" w:rsidR="00286810" w:rsidRPr="00066710" w:rsidRDefault="00286810" w:rsidP="004877F2">
            <w:pPr>
              <w:jc w:val="right"/>
              <w:rPr>
                <w:rFonts w:cstheme="minorHAnsi"/>
                <w:color w:val="000000"/>
                <w:sz w:val="16"/>
                <w:szCs w:val="16"/>
              </w:rPr>
            </w:pPr>
            <w:r w:rsidRPr="00066710">
              <w:rPr>
                <w:color w:val="000000"/>
                <w:sz w:val="16"/>
              </w:rPr>
              <w:t>-71.8</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74B7D5"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4BD355A" w14:textId="77777777" w:rsidR="00286810" w:rsidRPr="00066710" w:rsidRDefault="00286810" w:rsidP="004877F2">
            <w:pPr>
              <w:jc w:val="right"/>
              <w:rPr>
                <w:rFonts w:cstheme="minorHAnsi"/>
                <w:color w:val="000000"/>
                <w:sz w:val="16"/>
                <w:szCs w:val="16"/>
              </w:rPr>
            </w:pPr>
            <w:r w:rsidRPr="00066710">
              <w:rPr>
                <w:color w:val="000000"/>
                <w:sz w:val="16"/>
              </w:rPr>
              <w:t>1,878.2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B4A8C5" w14:textId="77777777" w:rsidR="00286810" w:rsidRPr="00066710" w:rsidRDefault="00286810" w:rsidP="004877F2">
            <w:pPr>
              <w:jc w:val="right"/>
              <w:rPr>
                <w:rFonts w:cstheme="minorHAnsi"/>
                <w:color w:val="000000"/>
                <w:sz w:val="16"/>
                <w:szCs w:val="16"/>
              </w:rPr>
            </w:pPr>
            <w:r w:rsidRPr="00066710">
              <w:rPr>
                <w:color w:val="000000"/>
                <w:sz w:val="16"/>
              </w:rPr>
              <w:t>1,717.6</w:t>
            </w:r>
          </w:p>
        </w:tc>
        <w:tc>
          <w:tcPr>
            <w:tcW w:w="670" w:type="dxa"/>
            <w:tcBorders>
              <w:top w:val="nil"/>
              <w:left w:val="nil"/>
              <w:bottom w:val="single" w:sz="4" w:space="0" w:color="FFFFFF" w:themeColor="background1"/>
              <w:right w:val="nil"/>
            </w:tcBorders>
            <w:shd w:val="clear" w:color="auto" w:fill="auto"/>
            <w:noWrap/>
            <w:vAlign w:val="bottom"/>
            <w:hideMark/>
          </w:tcPr>
          <w:p w14:paraId="12BB56B3" w14:textId="77777777" w:rsidR="00286810" w:rsidRPr="00066710" w:rsidRDefault="00286810" w:rsidP="004877F2">
            <w:pPr>
              <w:jc w:val="right"/>
              <w:rPr>
                <w:rFonts w:cstheme="minorHAnsi"/>
                <w:color w:val="000000"/>
                <w:sz w:val="16"/>
                <w:szCs w:val="16"/>
              </w:rPr>
            </w:pPr>
            <w:r w:rsidRPr="00066710">
              <w:rPr>
                <w:color w:val="000000"/>
                <w:sz w:val="16"/>
              </w:rPr>
              <w:t>-8.6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7F9CF4B" w14:textId="77777777" w:rsidR="00286810" w:rsidRPr="00066710" w:rsidRDefault="00286810" w:rsidP="004877F2">
            <w:pPr>
              <w:jc w:val="right"/>
              <w:rPr>
                <w:rFonts w:cstheme="minorHAnsi"/>
                <w:color w:val="000000"/>
                <w:sz w:val="16"/>
                <w:szCs w:val="16"/>
              </w:rPr>
            </w:pPr>
            <w:r w:rsidRPr="00066710">
              <w:rPr>
                <w:color w:val="000000"/>
                <w:sz w:val="16"/>
              </w:rPr>
              <w:t>53.5</w:t>
            </w:r>
          </w:p>
        </w:tc>
      </w:tr>
      <w:tr w:rsidR="00286810" w:rsidRPr="00066710" w14:paraId="0CD4C169"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7DDA36A" w14:textId="77777777" w:rsidR="00286810" w:rsidRPr="00066710" w:rsidRDefault="00286810" w:rsidP="004877F2">
            <w:pPr>
              <w:rPr>
                <w:rFonts w:cstheme="minorHAnsi"/>
                <w:color w:val="000000"/>
                <w:sz w:val="16"/>
                <w:szCs w:val="16"/>
              </w:rPr>
            </w:pPr>
            <w:r w:rsidRPr="00066710">
              <w:rPr>
                <w:color w:val="000000"/>
                <w:sz w:val="16"/>
              </w:rPr>
              <w:t>Estonia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CD2F751"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466C826" w14:textId="77777777" w:rsidR="00286810" w:rsidRPr="00066710" w:rsidRDefault="00286810" w:rsidP="004877F2">
            <w:pPr>
              <w:jc w:val="right"/>
              <w:rPr>
                <w:rFonts w:cstheme="minorHAnsi"/>
                <w:color w:val="000000"/>
                <w:sz w:val="16"/>
                <w:szCs w:val="16"/>
              </w:rPr>
            </w:pPr>
            <w:r w:rsidRPr="00066710">
              <w:rPr>
                <w:color w:val="000000"/>
                <w:sz w:val="16"/>
              </w:rPr>
              <w:t>1,895.9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6193F09" w14:textId="77777777" w:rsidR="00286810" w:rsidRPr="00066710" w:rsidRDefault="00286810" w:rsidP="004877F2">
            <w:pPr>
              <w:jc w:val="right"/>
              <w:rPr>
                <w:rFonts w:cstheme="minorHAnsi"/>
                <w:color w:val="000000"/>
                <w:sz w:val="16"/>
                <w:szCs w:val="16"/>
              </w:rPr>
            </w:pPr>
            <w:r w:rsidRPr="00066710">
              <w:rPr>
                <w:color w:val="000000"/>
                <w:sz w:val="16"/>
              </w:rPr>
              <w:t>852.1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193FF08" w14:textId="77777777" w:rsidR="00286810" w:rsidRPr="00066710" w:rsidRDefault="00286810" w:rsidP="004877F2">
            <w:pPr>
              <w:jc w:val="right"/>
              <w:rPr>
                <w:rFonts w:cstheme="minorHAnsi"/>
                <w:color w:val="000000"/>
                <w:sz w:val="16"/>
                <w:szCs w:val="16"/>
              </w:rPr>
            </w:pPr>
            <w:r w:rsidRPr="00066710">
              <w:rPr>
                <w:color w:val="000000"/>
                <w:sz w:val="16"/>
              </w:rPr>
              <w:t>-55.1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ABA9AE"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992E88" w14:textId="77777777" w:rsidR="00286810" w:rsidRPr="00066710" w:rsidRDefault="00286810" w:rsidP="004877F2">
            <w:pPr>
              <w:jc w:val="right"/>
              <w:rPr>
                <w:rFonts w:cstheme="minorHAnsi"/>
                <w:color w:val="000000"/>
                <w:sz w:val="16"/>
                <w:szCs w:val="16"/>
              </w:rPr>
            </w:pPr>
            <w:r w:rsidRPr="00066710">
              <w:rPr>
                <w:color w:val="000000"/>
                <w:sz w:val="16"/>
              </w:rPr>
              <w:t>954.5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9B0BB3" w14:textId="77777777" w:rsidR="00286810" w:rsidRPr="00066710" w:rsidRDefault="00286810" w:rsidP="004877F2">
            <w:pPr>
              <w:jc w:val="right"/>
              <w:rPr>
                <w:rFonts w:cstheme="minorHAnsi"/>
                <w:color w:val="000000"/>
                <w:sz w:val="16"/>
                <w:szCs w:val="16"/>
              </w:rPr>
            </w:pPr>
            <w:r w:rsidRPr="00066710">
              <w:rPr>
                <w:color w:val="000000"/>
                <w:sz w:val="16"/>
              </w:rPr>
              <w:t>887.0</w:t>
            </w:r>
          </w:p>
        </w:tc>
        <w:tc>
          <w:tcPr>
            <w:tcW w:w="670" w:type="dxa"/>
            <w:tcBorders>
              <w:top w:val="nil"/>
              <w:left w:val="nil"/>
              <w:bottom w:val="single" w:sz="4" w:space="0" w:color="FFFFFF" w:themeColor="background1"/>
              <w:right w:val="nil"/>
            </w:tcBorders>
            <w:shd w:val="clear" w:color="auto" w:fill="auto"/>
            <w:noWrap/>
            <w:vAlign w:val="bottom"/>
            <w:hideMark/>
          </w:tcPr>
          <w:p w14:paraId="271C81E9" w14:textId="77777777" w:rsidR="00286810" w:rsidRPr="00066710" w:rsidRDefault="00286810" w:rsidP="004877F2">
            <w:pPr>
              <w:jc w:val="right"/>
              <w:rPr>
                <w:rFonts w:cstheme="minorHAnsi"/>
                <w:color w:val="000000"/>
                <w:sz w:val="16"/>
                <w:szCs w:val="16"/>
              </w:rPr>
            </w:pPr>
            <w:r w:rsidRPr="00066710">
              <w:rPr>
                <w:color w:val="000000"/>
                <w:sz w:val="16"/>
              </w:rPr>
              <w:t>-7.1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BB07DBF" w14:textId="77777777" w:rsidR="00286810" w:rsidRPr="00066710" w:rsidRDefault="00286810" w:rsidP="004877F2">
            <w:pPr>
              <w:jc w:val="right"/>
              <w:rPr>
                <w:rFonts w:cstheme="minorHAnsi"/>
                <w:color w:val="000000"/>
                <w:sz w:val="16"/>
                <w:szCs w:val="16"/>
              </w:rPr>
            </w:pPr>
            <w:r w:rsidRPr="00066710">
              <w:rPr>
                <w:color w:val="000000"/>
                <w:sz w:val="16"/>
              </w:rPr>
              <w:t>104.1</w:t>
            </w:r>
          </w:p>
        </w:tc>
      </w:tr>
      <w:tr w:rsidR="00286810" w:rsidRPr="00066710" w14:paraId="5CAACB3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90C9563" w14:textId="77777777" w:rsidR="00286810" w:rsidRPr="00066710" w:rsidRDefault="00286810" w:rsidP="004877F2">
            <w:pPr>
              <w:rPr>
                <w:rFonts w:cstheme="minorHAnsi"/>
                <w:color w:val="000000"/>
                <w:sz w:val="16"/>
                <w:szCs w:val="16"/>
              </w:rPr>
            </w:pPr>
            <w:r w:rsidRPr="00066710">
              <w:rPr>
                <w:color w:val="000000"/>
                <w:sz w:val="16"/>
              </w:rPr>
              <w:t>Cyprus</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CBD24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04FBDEB"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E35DA6E" w14:textId="77777777" w:rsidR="00286810" w:rsidRPr="00066710" w:rsidRDefault="00286810" w:rsidP="004877F2">
            <w:pPr>
              <w:jc w:val="right"/>
              <w:rPr>
                <w:rFonts w:cstheme="minorHAnsi"/>
                <w:color w:val="000000"/>
                <w:sz w:val="16"/>
                <w:szCs w:val="16"/>
              </w:rPr>
            </w:pPr>
            <w:r w:rsidRPr="00066710">
              <w:rPr>
                <w:color w:val="000000"/>
                <w:sz w:val="16"/>
              </w:rPr>
              <w:t>3.6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30983C1" w14:textId="77777777" w:rsidR="00286810" w:rsidRPr="00066710" w:rsidRDefault="00286810" w:rsidP="004877F2">
            <w:pPr>
              <w:jc w:val="right"/>
              <w:rPr>
                <w:rFonts w:cstheme="minorHAnsi"/>
                <w:color w:val="000000"/>
                <w:sz w:val="16"/>
                <w:szCs w:val="16"/>
              </w:rPr>
            </w:pPr>
            <w:r w:rsidRPr="00066710">
              <w:rPr>
                <w:color w:val="000000"/>
                <w:sz w:val="16"/>
              </w:rPr>
              <w:t>4,957.7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105C22"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AB2FBD" w14:textId="77777777" w:rsidR="00286810" w:rsidRPr="00066710" w:rsidRDefault="00286810" w:rsidP="004877F2">
            <w:pPr>
              <w:jc w:val="right"/>
              <w:rPr>
                <w:rFonts w:cstheme="minorHAnsi"/>
                <w:color w:val="000000"/>
                <w:sz w:val="16"/>
                <w:szCs w:val="16"/>
              </w:rPr>
            </w:pPr>
            <w:r w:rsidRPr="00066710">
              <w:rPr>
                <w:color w:val="000000"/>
                <w:sz w:val="16"/>
              </w:rPr>
              <w:t>2,561.4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531FA8" w14:textId="77777777" w:rsidR="00286810" w:rsidRPr="00066710" w:rsidRDefault="00286810" w:rsidP="004877F2">
            <w:pPr>
              <w:jc w:val="right"/>
              <w:rPr>
                <w:rFonts w:cstheme="minorHAnsi"/>
                <w:color w:val="000000"/>
                <w:sz w:val="16"/>
                <w:szCs w:val="16"/>
              </w:rPr>
            </w:pPr>
            <w:r w:rsidRPr="00066710">
              <w:rPr>
                <w:color w:val="000000"/>
                <w:sz w:val="16"/>
              </w:rPr>
              <w:t>871.7</w:t>
            </w:r>
          </w:p>
        </w:tc>
        <w:tc>
          <w:tcPr>
            <w:tcW w:w="670" w:type="dxa"/>
            <w:tcBorders>
              <w:top w:val="nil"/>
              <w:left w:val="nil"/>
              <w:bottom w:val="single" w:sz="4" w:space="0" w:color="FFFFFF" w:themeColor="background1"/>
              <w:right w:val="nil"/>
            </w:tcBorders>
            <w:shd w:val="clear" w:color="auto" w:fill="auto"/>
            <w:noWrap/>
            <w:vAlign w:val="bottom"/>
            <w:hideMark/>
          </w:tcPr>
          <w:p w14:paraId="52F23A23" w14:textId="77777777" w:rsidR="00286810" w:rsidRPr="00066710" w:rsidRDefault="00286810" w:rsidP="004877F2">
            <w:pPr>
              <w:jc w:val="right"/>
              <w:rPr>
                <w:rFonts w:cstheme="minorHAnsi"/>
                <w:color w:val="000000"/>
                <w:sz w:val="16"/>
                <w:szCs w:val="16"/>
              </w:rPr>
            </w:pPr>
            <w:r w:rsidRPr="00066710">
              <w:rPr>
                <w:color w:val="000000"/>
                <w:sz w:val="16"/>
              </w:rPr>
              <w:t>-66.0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1AD33D9" w14:textId="77777777" w:rsidR="00286810" w:rsidRPr="00066710" w:rsidRDefault="00286810" w:rsidP="004877F2">
            <w:pPr>
              <w:jc w:val="right"/>
              <w:rPr>
                <w:rFonts w:cstheme="minorHAnsi"/>
                <w:color w:val="000000"/>
                <w:sz w:val="16"/>
                <w:szCs w:val="16"/>
              </w:rPr>
            </w:pPr>
            <w:r w:rsidRPr="00066710">
              <w:rPr>
                <w:color w:val="000000"/>
                <w:sz w:val="16"/>
              </w:rPr>
              <w:t>24,273.8</w:t>
            </w:r>
          </w:p>
        </w:tc>
      </w:tr>
      <w:tr w:rsidR="00286810" w:rsidRPr="00066710" w14:paraId="5716154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F4316D0" w14:textId="77777777" w:rsidR="00286810" w:rsidRPr="00066710" w:rsidRDefault="00286810" w:rsidP="004877F2">
            <w:pPr>
              <w:rPr>
                <w:rFonts w:cstheme="minorHAnsi"/>
                <w:color w:val="000000"/>
                <w:sz w:val="16"/>
                <w:szCs w:val="16"/>
              </w:rPr>
            </w:pPr>
            <w:r w:rsidRPr="00066710">
              <w:rPr>
                <w:color w:val="000000"/>
                <w:sz w:val="16"/>
              </w:rPr>
              <w:t>Slovakia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BCED984"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97B8061" w14:textId="77777777" w:rsidR="00286810" w:rsidRPr="00066710" w:rsidRDefault="00286810" w:rsidP="004877F2">
            <w:pPr>
              <w:jc w:val="right"/>
              <w:rPr>
                <w:rFonts w:cstheme="minorHAnsi"/>
                <w:color w:val="000000"/>
                <w:sz w:val="16"/>
                <w:szCs w:val="16"/>
              </w:rPr>
            </w:pPr>
            <w:r w:rsidRPr="00066710">
              <w:rPr>
                <w:color w:val="000000"/>
                <w:sz w:val="16"/>
              </w:rPr>
              <w:t>20,506.2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1F90AF1" w14:textId="77777777" w:rsidR="00286810" w:rsidRPr="00066710" w:rsidRDefault="00286810" w:rsidP="004877F2">
            <w:pPr>
              <w:jc w:val="right"/>
              <w:rPr>
                <w:rFonts w:cstheme="minorHAnsi"/>
                <w:color w:val="000000"/>
                <w:sz w:val="16"/>
                <w:szCs w:val="16"/>
              </w:rPr>
            </w:pPr>
            <w:r w:rsidRPr="00066710">
              <w:rPr>
                <w:color w:val="000000"/>
                <w:sz w:val="16"/>
              </w:rPr>
              <w:t>1,345.6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A258337" w14:textId="77777777" w:rsidR="00286810" w:rsidRPr="00066710" w:rsidRDefault="00286810" w:rsidP="004877F2">
            <w:pPr>
              <w:jc w:val="right"/>
              <w:rPr>
                <w:rFonts w:cstheme="minorHAnsi"/>
                <w:color w:val="000000"/>
                <w:sz w:val="16"/>
                <w:szCs w:val="16"/>
              </w:rPr>
            </w:pPr>
            <w:r w:rsidRPr="00066710">
              <w:rPr>
                <w:color w:val="000000"/>
                <w:sz w:val="16"/>
              </w:rPr>
              <w:t>-93.4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278948"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CA60C2" w14:textId="77777777" w:rsidR="00286810" w:rsidRPr="00066710" w:rsidRDefault="00286810" w:rsidP="004877F2">
            <w:pPr>
              <w:jc w:val="right"/>
              <w:rPr>
                <w:rFonts w:cstheme="minorHAnsi"/>
                <w:color w:val="000000"/>
                <w:sz w:val="16"/>
                <w:szCs w:val="16"/>
              </w:rPr>
            </w:pPr>
            <w:r w:rsidRPr="00066710">
              <w:rPr>
                <w:color w:val="000000"/>
                <w:sz w:val="16"/>
              </w:rPr>
              <w:t>1,052.5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EE9E8A" w14:textId="77777777" w:rsidR="00286810" w:rsidRPr="00066710" w:rsidRDefault="00286810" w:rsidP="004877F2">
            <w:pPr>
              <w:jc w:val="right"/>
              <w:rPr>
                <w:rFonts w:cstheme="minorHAnsi"/>
                <w:color w:val="000000"/>
                <w:sz w:val="16"/>
                <w:szCs w:val="16"/>
              </w:rPr>
            </w:pPr>
            <w:r w:rsidRPr="00066710">
              <w:rPr>
                <w:color w:val="000000"/>
                <w:sz w:val="16"/>
              </w:rPr>
              <w:t>860.9</w:t>
            </w:r>
          </w:p>
        </w:tc>
        <w:tc>
          <w:tcPr>
            <w:tcW w:w="670" w:type="dxa"/>
            <w:tcBorders>
              <w:top w:val="nil"/>
              <w:left w:val="nil"/>
              <w:bottom w:val="single" w:sz="4" w:space="0" w:color="FFFFFF" w:themeColor="background1"/>
              <w:right w:val="nil"/>
            </w:tcBorders>
            <w:shd w:val="clear" w:color="auto" w:fill="auto"/>
            <w:noWrap/>
            <w:vAlign w:val="bottom"/>
            <w:hideMark/>
          </w:tcPr>
          <w:p w14:paraId="2E44C01E" w14:textId="77777777" w:rsidR="00286810" w:rsidRPr="00066710" w:rsidRDefault="00286810" w:rsidP="004877F2">
            <w:pPr>
              <w:jc w:val="right"/>
              <w:rPr>
                <w:rFonts w:cstheme="minorHAnsi"/>
                <w:color w:val="000000"/>
                <w:sz w:val="16"/>
                <w:szCs w:val="16"/>
              </w:rPr>
            </w:pPr>
            <w:r w:rsidRPr="00066710">
              <w:rPr>
                <w:color w:val="000000"/>
                <w:sz w:val="16"/>
              </w:rPr>
              <w:t>-18.2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E8B0A47" w14:textId="77777777" w:rsidR="00286810" w:rsidRPr="00066710" w:rsidRDefault="00286810" w:rsidP="004877F2">
            <w:pPr>
              <w:jc w:val="right"/>
              <w:rPr>
                <w:rFonts w:cstheme="minorHAnsi"/>
                <w:color w:val="000000"/>
                <w:sz w:val="16"/>
                <w:szCs w:val="16"/>
              </w:rPr>
            </w:pPr>
            <w:r w:rsidRPr="00066710">
              <w:rPr>
                <w:color w:val="000000"/>
                <w:sz w:val="16"/>
              </w:rPr>
              <w:t>64.0</w:t>
            </w:r>
          </w:p>
        </w:tc>
      </w:tr>
      <w:tr w:rsidR="00286810" w:rsidRPr="00066710" w14:paraId="46223C4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53BAD60" w14:textId="77777777" w:rsidR="00286810" w:rsidRPr="00066710" w:rsidRDefault="00286810" w:rsidP="004877F2">
            <w:pPr>
              <w:rPr>
                <w:rFonts w:cstheme="minorHAnsi"/>
                <w:color w:val="000000"/>
                <w:sz w:val="16"/>
                <w:szCs w:val="16"/>
              </w:rPr>
            </w:pPr>
            <w:r w:rsidRPr="00066710">
              <w:rPr>
                <w:color w:val="000000"/>
                <w:sz w:val="16"/>
              </w:rPr>
              <w:t>Finland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D76E828" w14:textId="77777777" w:rsidR="00286810" w:rsidRPr="00066710" w:rsidRDefault="00286810" w:rsidP="004877F2">
            <w:pPr>
              <w:jc w:val="right"/>
              <w:rPr>
                <w:rFonts w:cstheme="minorHAnsi"/>
                <w:color w:val="000000"/>
                <w:sz w:val="16"/>
                <w:szCs w:val="16"/>
              </w:rPr>
            </w:pPr>
            <w:r w:rsidRPr="00066710">
              <w:rPr>
                <w:color w:val="000000"/>
                <w:sz w:val="16"/>
              </w:rPr>
              <w:t>0.3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5B52DC9" w14:textId="77777777" w:rsidR="00286810" w:rsidRPr="00066710" w:rsidRDefault="00286810" w:rsidP="004877F2">
            <w:pPr>
              <w:jc w:val="right"/>
              <w:rPr>
                <w:rFonts w:cstheme="minorHAnsi"/>
                <w:color w:val="000000"/>
                <w:sz w:val="16"/>
                <w:szCs w:val="16"/>
              </w:rPr>
            </w:pPr>
            <w:r w:rsidRPr="00066710">
              <w:rPr>
                <w:color w:val="000000"/>
                <w:sz w:val="16"/>
              </w:rPr>
              <w:t>5,386.7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2AA370A" w14:textId="77777777" w:rsidR="00286810" w:rsidRPr="00066710" w:rsidRDefault="00286810" w:rsidP="004877F2">
            <w:pPr>
              <w:jc w:val="right"/>
              <w:rPr>
                <w:rFonts w:cstheme="minorHAnsi"/>
                <w:color w:val="000000"/>
                <w:sz w:val="16"/>
                <w:szCs w:val="16"/>
              </w:rPr>
            </w:pPr>
            <w:r w:rsidRPr="00066710">
              <w:rPr>
                <w:color w:val="000000"/>
                <w:sz w:val="16"/>
              </w:rPr>
              <w:t>4,454.9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70E24E4" w14:textId="77777777" w:rsidR="00286810" w:rsidRPr="00066710" w:rsidRDefault="00286810" w:rsidP="004877F2">
            <w:pPr>
              <w:jc w:val="right"/>
              <w:rPr>
                <w:rFonts w:cstheme="minorHAnsi"/>
                <w:color w:val="000000"/>
                <w:sz w:val="16"/>
                <w:szCs w:val="16"/>
              </w:rPr>
            </w:pPr>
            <w:r w:rsidRPr="00066710">
              <w:rPr>
                <w:color w:val="000000"/>
                <w:sz w:val="16"/>
              </w:rPr>
              <w:t>-17.3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AA29C1"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10A350" w14:textId="77777777" w:rsidR="00286810" w:rsidRPr="00066710" w:rsidRDefault="00286810" w:rsidP="004877F2">
            <w:pPr>
              <w:jc w:val="right"/>
              <w:rPr>
                <w:rFonts w:cstheme="minorHAnsi"/>
                <w:color w:val="000000"/>
                <w:sz w:val="16"/>
                <w:szCs w:val="16"/>
              </w:rPr>
            </w:pPr>
            <w:r w:rsidRPr="00066710">
              <w:rPr>
                <w:color w:val="000000"/>
                <w:sz w:val="16"/>
              </w:rPr>
              <w:t>1,003.3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55F181" w14:textId="77777777" w:rsidR="00286810" w:rsidRPr="00066710" w:rsidRDefault="00286810" w:rsidP="004877F2">
            <w:pPr>
              <w:jc w:val="right"/>
              <w:rPr>
                <w:rFonts w:cstheme="minorHAnsi"/>
                <w:color w:val="000000"/>
                <w:sz w:val="16"/>
                <w:szCs w:val="16"/>
              </w:rPr>
            </w:pPr>
            <w:r w:rsidRPr="00066710">
              <w:rPr>
                <w:color w:val="000000"/>
                <w:sz w:val="16"/>
              </w:rPr>
              <w:t>771.1</w:t>
            </w:r>
          </w:p>
        </w:tc>
        <w:tc>
          <w:tcPr>
            <w:tcW w:w="670" w:type="dxa"/>
            <w:tcBorders>
              <w:top w:val="nil"/>
              <w:left w:val="nil"/>
              <w:bottom w:val="single" w:sz="4" w:space="0" w:color="FFFFFF" w:themeColor="background1"/>
              <w:right w:val="nil"/>
            </w:tcBorders>
            <w:shd w:val="clear" w:color="auto" w:fill="auto"/>
            <w:noWrap/>
            <w:vAlign w:val="bottom"/>
            <w:hideMark/>
          </w:tcPr>
          <w:p w14:paraId="681EB99A" w14:textId="77777777" w:rsidR="00286810" w:rsidRPr="00066710" w:rsidRDefault="00286810" w:rsidP="004877F2">
            <w:pPr>
              <w:jc w:val="right"/>
              <w:rPr>
                <w:rFonts w:cstheme="minorHAnsi"/>
                <w:color w:val="000000"/>
                <w:sz w:val="16"/>
                <w:szCs w:val="16"/>
              </w:rPr>
            </w:pPr>
            <w:r w:rsidRPr="00066710">
              <w:rPr>
                <w:color w:val="000000"/>
                <w:sz w:val="16"/>
              </w:rPr>
              <w:t>-23.1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DC33DAE" w14:textId="77777777" w:rsidR="00286810" w:rsidRPr="00066710" w:rsidRDefault="00286810" w:rsidP="004877F2">
            <w:pPr>
              <w:jc w:val="right"/>
              <w:rPr>
                <w:rFonts w:cstheme="minorHAnsi"/>
                <w:color w:val="000000"/>
                <w:sz w:val="16"/>
                <w:szCs w:val="16"/>
              </w:rPr>
            </w:pPr>
            <w:r w:rsidRPr="00066710">
              <w:rPr>
                <w:color w:val="000000"/>
                <w:sz w:val="16"/>
              </w:rPr>
              <w:t>17.3</w:t>
            </w:r>
          </w:p>
        </w:tc>
      </w:tr>
      <w:tr w:rsidR="00286810" w:rsidRPr="00066710" w14:paraId="7F5EAFF6"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A6EC084" w14:textId="77777777" w:rsidR="00286810" w:rsidRPr="00066710" w:rsidRDefault="00286810" w:rsidP="004877F2">
            <w:pPr>
              <w:rPr>
                <w:rFonts w:cstheme="minorHAnsi"/>
                <w:color w:val="000000"/>
                <w:sz w:val="16"/>
                <w:szCs w:val="16"/>
              </w:rPr>
            </w:pPr>
            <w:r w:rsidRPr="00066710">
              <w:rPr>
                <w:color w:val="000000"/>
                <w:sz w:val="16"/>
              </w:rPr>
              <w:lastRenderedPageBreak/>
              <w:t>Malta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5DC4A3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F170328"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0E0E8C7" w14:textId="77777777" w:rsidR="00286810" w:rsidRPr="00066710" w:rsidRDefault="00286810" w:rsidP="004877F2">
            <w:pPr>
              <w:jc w:val="right"/>
              <w:rPr>
                <w:rFonts w:cstheme="minorHAnsi"/>
                <w:color w:val="000000"/>
                <w:sz w:val="16"/>
                <w:szCs w:val="16"/>
              </w:rPr>
            </w:pPr>
            <w:r w:rsidRPr="00066710">
              <w:rPr>
                <w:color w:val="000000"/>
                <w:sz w:val="16"/>
              </w:rPr>
              <w:t>2.0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F4EEC90" w14:textId="77777777" w:rsidR="00286810" w:rsidRPr="00066710" w:rsidRDefault="00286810" w:rsidP="004877F2">
            <w:pPr>
              <w:jc w:val="right"/>
              <w:rPr>
                <w:rFonts w:cstheme="minorHAnsi"/>
                <w:color w:val="000000"/>
                <w:sz w:val="16"/>
                <w:szCs w:val="16"/>
              </w:rPr>
            </w:pPr>
            <w:r w:rsidRPr="00066710">
              <w:rPr>
                <w:color w:val="000000"/>
                <w:sz w:val="16"/>
              </w:rPr>
              <w:t>1,433.3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D63B15"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A58E9D" w14:textId="77777777" w:rsidR="00286810" w:rsidRPr="00066710" w:rsidRDefault="00286810" w:rsidP="004877F2">
            <w:pPr>
              <w:jc w:val="right"/>
              <w:rPr>
                <w:rFonts w:cstheme="minorHAnsi"/>
                <w:color w:val="000000"/>
                <w:sz w:val="16"/>
                <w:szCs w:val="16"/>
              </w:rPr>
            </w:pPr>
            <w:r w:rsidRPr="00066710">
              <w:rPr>
                <w:color w:val="000000"/>
                <w:sz w:val="16"/>
              </w:rPr>
              <w:t>323.1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5CEBC8" w14:textId="77777777" w:rsidR="00286810" w:rsidRPr="00066710" w:rsidRDefault="00286810" w:rsidP="004877F2">
            <w:pPr>
              <w:jc w:val="right"/>
              <w:rPr>
                <w:rFonts w:cstheme="minorHAnsi"/>
                <w:color w:val="000000"/>
                <w:sz w:val="16"/>
                <w:szCs w:val="16"/>
              </w:rPr>
            </w:pPr>
            <w:r w:rsidRPr="00066710">
              <w:rPr>
                <w:color w:val="000000"/>
                <w:sz w:val="16"/>
              </w:rPr>
              <w:t>525.6</w:t>
            </w:r>
          </w:p>
        </w:tc>
        <w:tc>
          <w:tcPr>
            <w:tcW w:w="670" w:type="dxa"/>
            <w:tcBorders>
              <w:top w:val="nil"/>
              <w:left w:val="nil"/>
              <w:bottom w:val="single" w:sz="4" w:space="0" w:color="FFFFFF" w:themeColor="background1"/>
              <w:right w:val="nil"/>
            </w:tcBorders>
            <w:shd w:val="clear" w:color="auto" w:fill="auto"/>
            <w:noWrap/>
            <w:vAlign w:val="bottom"/>
            <w:hideMark/>
          </w:tcPr>
          <w:p w14:paraId="5BCE5430" w14:textId="77777777" w:rsidR="00286810" w:rsidRPr="00066710" w:rsidRDefault="00286810" w:rsidP="004877F2">
            <w:pPr>
              <w:jc w:val="right"/>
              <w:rPr>
                <w:rFonts w:cstheme="minorHAnsi"/>
                <w:color w:val="000000"/>
                <w:sz w:val="16"/>
                <w:szCs w:val="16"/>
              </w:rPr>
            </w:pPr>
            <w:r w:rsidRPr="00066710">
              <w:rPr>
                <w:color w:val="000000"/>
                <w:sz w:val="16"/>
              </w:rPr>
              <w:t>62.7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5808AEF" w14:textId="77777777" w:rsidR="00286810" w:rsidRPr="00066710" w:rsidRDefault="00286810" w:rsidP="004877F2">
            <w:pPr>
              <w:jc w:val="right"/>
              <w:rPr>
                <w:rFonts w:cstheme="minorHAnsi"/>
                <w:color w:val="000000"/>
                <w:sz w:val="16"/>
                <w:szCs w:val="16"/>
              </w:rPr>
            </w:pPr>
            <w:r w:rsidRPr="00066710">
              <w:rPr>
                <w:color w:val="000000"/>
                <w:sz w:val="16"/>
              </w:rPr>
              <w:t>26,572.4</w:t>
            </w:r>
          </w:p>
        </w:tc>
      </w:tr>
      <w:tr w:rsidR="00286810" w:rsidRPr="00066710" w14:paraId="5B84AFAE"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E9178F5" w14:textId="77777777" w:rsidR="00286810" w:rsidRPr="00066710" w:rsidRDefault="00286810" w:rsidP="004877F2">
            <w:pPr>
              <w:rPr>
                <w:rFonts w:cstheme="minorHAnsi"/>
                <w:color w:val="000000"/>
                <w:sz w:val="16"/>
                <w:szCs w:val="16"/>
              </w:rPr>
            </w:pPr>
            <w:r w:rsidRPr="00066710">
              <w:rPr>
                <w:color w:val="000000"/>
                <w:sz w:val="16"/>
              </w:rPr>
              <w:t>Slovenia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DDA544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BE0ED36" w14:textId="77777777" w:rsidR="00286810" w:rsidRPr="00066710" w:rsidRDefault="00286810" w:rsidP="004877F2">
            <w:pPr>
              <w:jc w:val="right"/>
              <w:rPr>
                <w:rFonts w:cstheme="minorHAnsi"/>
                <w:color w:val="000000"/>
                <w:sz w:val="16"/>
                <w:szCs w:val="16"/>
              </w:rPr>
            </w:pPr>
            <w:r w:rsidRPr="00066710">
              <w:rPr>
                <w:color w:val="000000"/>
                <w:sz w:val="16"/>
              </w:rPr>
              <w:t>3,053.3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EF8DEED" w14:textId="77777777" w:rsidR="00286810" w:rsidRPr="00066710" w:rsidRDefault="00286810" w:rsidP="004877F2">
            <w:pPr>
              <w:jc w:val="right"/>
              <w:rPr>
                <w:rFonts w:cstheme="minorHAnsi"/>
                <w:color w:val="000000"/>
                <w:sz w:val="16"/>
                <w:szCs w:val="16"/>
              </w:rPr>
            </w:pPr>
            <w:r w:rsidRPr="00066710">
              <w:rPr>
                <w:color w:val="000000"/>
                <w:sz w:val="16"/>
              </w:rPr>
              <w:t>505.7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C8CE750" w14:textId="77777777" w:rsidR="00286810" w:rsidRPr="00066710" w:rsidRDefault="00286810" w:rsidP="004877F2">
            <w:pPr>
              <w:jc w:val="right"/>
              <w:rPr>
                <w:rFonts w:cstheme="minorHAnsi"/>
                <w:color w:val="000000"/>
                <w:sz w:val="16"/>
                <w:szCs w:val="16"/>
              </w:rPr>
            </w:pPr>
            <w:r w:rsidRPr="00066710">
              <w:rPr>
                <w:color w:val="000000"/>
                <w:sz w:val="16"/>
              </w:rPr>
              <w:t>-83.4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92D143"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72D215" w14:textId="77777777" w:rsidR="00286810" w:rsidRPr="00066710" w:rsidRDefault="00286810" w:rsidP="004877F2">
            <w:pPr>
              <w:jc w:val="right"/>
              <w:rPr>
                <w:rFonts w:cstheme="minorHAnsi"/>
                <w:color w:val="000000"/>
                <w:sz w:val="16"/>
                <w:szCs w:val="16"/>
              </w:rPr>
            </w:pPr>
            <w:r w:rsidRPr="00066710">
              <w:rPr>
                <w:color w:val="000000"/>
                <w:sz w:val="16"/>
              </w:rPr>
              <w:t>277.3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F221D5" w14:textId="77777777" w:rsidR="00286810" w:rsidRPr="00066710" w:rsidRDefault="00286810" w:rsidP="004877F2">
            <w:pPr>
              <w:jc w:val="right"/>
              <w:rPr>
                <w:rFonts w:cstheme="minorHAnsi"/>
                <w:color w:val="000000"/>
                <w:sz w:val="16"/>
                <w:szCs w:val="16"/>
              </w:rPr>
            </w:pPr>
            <w:r w:rsidRPr="00066710">
              <w:rPr>
                <w:color w:val="000000"/>
                <w:sz w:val="16"/>
              </w:rPr>
              <w:t>501.8</w:t>
            </w:r>
          </w:p>
        </w:tc>
        <w:tc>
          <w:tcPr>
            <w:tcW w:w="670" w:type="dxa"/>
            <w:tcBorders>
              <w:top w:val="nil"/>
              <w:left w:val="nil"/>
              <w:bottom w:val="single" w:sz="4" w:space="0" w:color="FFFFFF" w:themeColor="background1"/>
              <w:right w:val="nil"/>
            </w:tcBorders>
            <w:shd w:val="clear" w:color="auto" w:fill="auto"/>
            <w:noWrap/>
            <w:vAlign w:val="bottom"/>
            <w:hideMark/>
          </w:tcPr>
          <w:p w14:paraId="6E08B6AD" w14:textId="77777777" w:rsidR="00286810" w:rsidRPr="00066710" w:rsidRDefault="00286810" w:rsidP="004877F2">
            <w:pPr>
              <w:jc w:val="right"/>
              <w:rPr>
                <w:rFonts w:cstheme="minorHAnsi"/>
                <w:color w:val="000000"/>
                <w:sz w:val="16"/>
                <w:szCs w:val="16"/>
              </w:rPr>
            </w:pPr>
            <w:r w:rsidRPr="00066710">
              <w:rPr>
                <w:color w:val="000000"/>
                <w:sz w:val="16"/>
              </w:rPr>
              <w:t>80.9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F5503EE" w14:textId="77777777" w:rsidR="00286810" w:rsidRPr="00066710" w:rsidRDefault="00286810" w:rsidP="004877F2">
            <w:pPr>
              <w:jc w:val="right"/>
              <w:rPr>
                <w:rFonts w:cstheme="minorHAnsi"/>
                <w:color w:val="000000"/>
                <w:sz w:val="16"/>
                <w:szCs w:val="16"/>
              </w:rPr>
            </w:pPr>
            <w:r w:rsidRPr="00066710">
              <w:rPr>
                <w:color w:val="000000"/>
                <w:sz w:val="16"/>
              </w:rPr>
              <w:t>99.2</w:t>
            </w:r>
          </w:p>
        </w:tc>
      </w:tr>
      <w:tr w:rsidR="00286810" w:rsidRPr="00066710" w14:paraId="56ADA9E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C548779" w14:textId="77777777" w:rsidR="00286810" w:rsidRPr="00066710" w:rsidRDefault="00286810" w:rsidP="004877F2">
            <w:pPr>
              <w:rPr>
                <w:rFonts w:cstheme="minorHAnsi"/>
                <w:color w:val="000000"/>
                <w:sz w:val="16"/>
                <w:szCs w:val="16"/>
              </w:rPr>
            </w:pPr>
            <w:r w:rsidRPr="00066710">
              <w:rPr>
                <w:color w:val="000000"/>
                <w:sz w:val="16"/>
              </w:rPr>
              <w:t>Croatia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1DDD79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6A4A341" w14:textId="77777777" w:rsidR="00286810" w:rsidRPr="00066710" w:rsidRDefault="00286810" w:rsidP="004877F2">
            <w:pPr>
              <w:jc w:val="right"/>
              <w:rPr>
                <w:rFonts w:cstheme="minorHAnsi"/>
                <w:color w:val="000000"/>
                <w:sz w:val="16"/>
                <w:szCs w:val="16"/>
              </w:rPr>
            </w:pPr>
            <w:r w:rsidRPr="00066710">
              <w:rPr>
                <w:color w:val="000000"/>
                <w:sz w:val="16"/>
              </w:rPr>
              <w:t>598.6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517E7EF" w14:textId="77777777" w:rsidR="00286810" w:rsidRPr="00066710" w:rsidRDefault="00286810" w:rsidP="004877F2">
            <w:pPr>
              <w:jc w:val="right"/>
              <w:rPr>
                <w:rFonts w:cstheme="minorHAnsi"/>
                <w:color w:val="000000"/>
                <w:sz w:val="16"/>
                <w:szCs w:val="16"/>
              </w:rPr>
            </w:pPr>
            <w:r w:rsidRPr="00066710">
              <w:rPr>
                <w:color w:val="000000"/>
                <w:sz w:val="16"/>
              </w:rPr>
              <w:t>714.3</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1295DD9" w14:textId="77777777" w:rsidR="00286810" w:rsidRPr="00066710" w:rsidRDefault="00286810" w:rsidP="004877F2">
            <w:pPr>
              <w:jc w:val="right"/>
              <w:rPr>
                <w:rFonts w:cstheme="minorHAnsi"/>
                <w:color w:val="000000"/>
                <w:sz w:val="16"/>
                <w:szCs w:val="16"/>
              </w:rPr>
            </w:pPr>
            <w:r w:rsidRPr="00066710">
              <w:rPr>
                <w:color w:val="000000"/>
                <w:sz w:val="16"/>
              </w:rPr>
              <w:t>19.3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01ECC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E568D0" w14:textId="77777777" w:rsidR="00286810" w:rsidRPr="00066710" w:rsidRDefault="00286810" w:rsidP="004877F2">
            <w:pPr>
              <w:jc w:val="right"/>
              <w:rPr>
                <w:rFonts w:cstheme="minorHAnsi"/>
                <w:color w:val="000000"/>
                <w:sz w:val="16"/>
                <w:szCs w:val="16"/>
              </w:rPr>
            </w:pPr>
            <w:r w:rsidRPr="00066710">
              <w:rPr>
                <w:color w:val="000000"/>
                <w:sz w:val="16"/>
              </w:rPr>
              <w:t>306.6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F29C5D" w14:textId="77777777" w:rsidR="00286810" w:rsidRPr="00066710" w:rsidRDefault="00286810" w:rsidP="004877F2">
            <w:pPr>
              <w:jc w:val="right"/>
              <w:rPr>
                <w:rFonts w:cstheme="minorHAnsi"/>
                <w:color w:val="000000"/>
                <w:sz w:val="16"/>
                <w:szCs w:val="16"/>
              </w:rPr>
            </w:pPr>
            <w:r w:rsidRPr="00066710">
              <w:rPr>
                <w:color w:val="000000"/>
                <w:sz w:val="16"/>
              </w:rPr>
              <w:t>414.4</w:t>
            </w:r>
          </w:p>
        </w:tc>
        <w:tc>
          <w:tcPr>
            <w:tcW w:w="670" w:type="dxa"/>
            <w:tcBorders>
              <w:top w:val="nil"/>
              <w:left w:val="nil"/>
              <w:bottom w:val="single" w:sz="4" w:space="0" w:color="FFFFFF" w:themeColor="background1"/>
              <w:right w:val="nil"/>
            </w:tcBorders>
            <w:shd w:val="clear" w:color="auto" w:fill="auto"/>
            <w:noWrap/>
            <w:vAlign w:val="bottom"/>
            <w:hideMark/>
          </w:tcPr>
          <w:p w14:paraId="00655EBD" w14:textId="77777777" w:rsidR="00286810" w:rsidRPr="00066710" w:rsidRDefault="00286810" w:rsidP="004877F2">
            <w:pPr>
              <w:jc w:val="right"/>
              <w:rPr>
                <w:rFonts w:cstheme="minorHAnsi"/>
                <w:color w:val="000000"/>
                <w:sz w:val="16"/>
                <w:szCs w:val="16"/>
              </w:rPr>
            </w:pPr>
            <w:r w:rsidRPr="00066710">
              <w:rPr>
                <w:color w:val="000000"/>
                <w:sz w:val="16"/>
              </w:rPr>
              <w:t>35.1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F0244E" w14:textId="77777777" w:rsidR="00286810" w:rsidRPr="00066710" w:rsidRDefault="00286810" w:rsidP="004877F2">
            <w:pPr>
              <w:jc w:val="right"/>
              <w:rPr>
                <w:rFonts w:cstheme="minorHAnsi"/>
                <w:color w:val="000000"/>
                <w:sz w:val="16"/>
                <w:szCs w:val="16"/>
              </w:rPr>
            </w:pPr>
            <w:r w:rsidRPr="00066710">
              <w:rPr>
                <w:color w:val="000000"/>
                <w:sz w:val="16"/>
              </w:rPr>
              <w:t>58.0</w:t>
            </w:r>
          </w:p>
        </w:tc>
      </w:tr>
      <w:tr w:rsidR="00286810" w:rsidRPr="00066710" w14:paraId="5113A1C2"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F5BE021" w14:textId="77777777" w:rsidR="00286810" w:rsidRPr="00066710" w:rsidRDefault="00286810" w:rsidP="004877F2">
            <w:pPr>
              <w:rPr>
                <w:rFonts w:cstheme="minorHAnsi"/>
                <w:color w:val="000000"/>
                <w:sz w:val="16"/>
                <w:szCs w:val="16"/>
              </w:rPr>
            </w:pPr>
            <w:r w:rsidRPr="00066710">
              <w:rPr>
                <w:color w:val="000000"/>
                <w:sz w:val="16"/>
              </w:rPr>
              <w:t>Bulgaria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2B22A54"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80EB846" w14:textId="77777777" w:rsidR="00286810" w:rsidRPr="00066710" w:rsidRDefault="00286810" w:rsidP="004877F2">
            <w:pPr>
              <w:jc w:val="right"/>
              <w:rPr>
                <w:rFonts w:cstheme="minorHAnsi"/>
                <w:color w:val="000000"/>
                <w:sz w:val="16"/>
                <w:szCs w:val="16"/>
              </w:rPr>
            </w:pPr>
            <w:r w:rsidRPr="00066710">
              <w:rPr>
                <w:color w:val="000000"/>
                <w:sz w:val="16"/>
              </w:rPr>
              <w:t>1,229.6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7C03484" w14:textId="77777777" w:rsidR="00286810" w:rsidRPr="00066710" w:rsidRDefault="00286810" w:rsidP="004877F2">
            <w:pPr>
              <w:jc w:val="right"/>
              <w:rPr>
                <w:rFonts w:cstheme="minorHAnsi"/>
                <w:color w:val="000000"/>
                <w:sz w:val="16"/>
                <w:szCs w:val="16"/>
              </w:rPr>
            </w:pPr>
            <w:r w:rsidRPr="00066710">
              <w:rPr>
                <w:color w:val="000000"/>
                <w:sz w:val="16"/>
              </w:rPr>
              <w:t>2,446.5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3AB72AF" w14:textId="77777777" w:rsidR="00286810" w:rsidRPr="00066710" w:rsidRDefault="00286810" w:rsidP="004877F2">
            <w:pPr>
              <w:jc w:val="right"/>
              <w:rPr>
                <w:rFonts w:cstheme="minorHAnsi"/>
                <w:color w:val="000000"/>
                <w:sz w:val="16"/>
                <w:szCs w:val="16"/>
              </w:rPr>
            </w:pPr>
            <w:r w:rsidRPr="00066710">
              <w:rPr>
                <w:color w:val="000000"/>
                <w:sz w:val="16"/>
              </w:rPr>
              <w:t>99.0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5B8F6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A98FE25" w14:textId="77777777" w:rsidR="00286810" w:rsidRPr="00066710" w:rsidRDefault="00286810" w:rsidP="004877F2">
            <w:pPr>
              <w:jc w:val="right"/>
              <w:rPr>
                <w:rFonts w:cstheme="minorHAnsi"/>
                <w:color w:val="000000"/>
                <w:sz w:val="16"/>
                <w:szCs w:val="16"/>
              </w:rPr>
            </w:pPr>
            <w:r w:rsidRPr="00066710">
              <w:rPr>
                <w:color w:val="000000"/>
                <w:sz w:val="16"/>
              </w:rPr>
              <w:t>515.5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5A8CDC" w14:textId="77777777" w:rsidR="00286810" w:rsidRPr="00066710" w:rsidRDefault="00286810" w:rsidP="004877F2">
            <w:pPr>
              <w:jc w:val="right"/>
              <w:rPr>
                <w:rFonts w:cstheme="minorHAnsi"/>
                <w:color w:val="000000"/>
                <w:sz w:val="16"/>
                <w:szCs w:val="16"/>
              </w:rPr>
            </w:pPr>
            <w:r w:rsidRPr="00066710">
              <w:rPr>
                <w:color w:val="000000"/>
                <w:sz w:val="16"/>
              </w:rPr>
              <w:t>405.9</w:t>
            </w:r>
          </w:p>
        </w:tc>
        <w:tc>
          <w:tcPr>
            <w:tcW w:w="670" w:type="dxa"/>
            <w:tcBorders>
              <w:top w:val="nil"/>
              <w:left w:val="nil"/>
              <w:bottom w:val="single" w:sz="4" w:space="0" w:color="FFFFFF" w:themeColor="background1"/>
              <w:right w:val="nil"/>
            </w:tcBorders>
            <w:shd w:val="clear" w:color="auto" w:fill="auto"/>
            <w:noWrap/>
            <w:vAlign w:val="bottom"/>
            <w:hideMark/>
          </w:tcPr>
          <w:p w14:paraId="6EDAAF55" w14:textId="77777777" w:rsidR="00286810" w:rsidRPr="00066710" w:rsidRDefault="00286810" w:rsidP="004877F2">
            <w:pPr>
              <w:jc w:val="right"/>
              <w:rPr>
                <w:rFonts w:cstheme="minorHAnsi"/>
                <w:color w:val="000000"/>
                <w:sz w:val="16"/>
                <w:szCs w:val="16"/>
              </w:rPr>
            </w:pPr>
            <w:r w:rsidRPr="00066710">
              <w:rPr>
                <w:color w:val="000000"/>
                <w:sz w:val="16"/>
              </w:rPr>
              <w:t>-21.3</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68540CB" w14:textId="77777777" w:rsidR="00286810" w:rsidRPr="00066710" w:rsidRDefault="00286810" w:rsidP="004877F2">
            <w:pPr>
              <w:jc w:val="right"/>
              <w:rPr>
                <w:rFonts w:cstheme="minorHAnsi"/>
                <w:color w:val="000000"/>
                <w:sz w:val="16"/>
                <w:szCs w:val="16"/>
              </w:rPr>
            </w:pPr>
            <w:r w:rsidRPr="00066710">
              <w:rPr>
                <w:color w:val="000000"/>
                <w:sz w:val="16"/>
              </w:rPr>
              <w:t>16.6</w:t>
            </w:r>
          </w:p>
        </w:tc>
      </w:tr>
      <w:tr w:rsidR="00286810" w:rsidRPr="00066710" w14:paraId="6103E60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9316C89" w14:textId="77777777" w:rsidR="00286810" w:rsidRPr="00066710" w:rsidRDefault="00286810" w:rsidP="004877F2">
            <w:pPr>
              <w:rPr>
                <w:rFonts w:cstheme="minorHAnsi"/>
                <w:color w:val="000000"/>
                <w:sz w:val="16"/>
                <w:szCs w:val="16"/>
              </w:rPr>
            </w:pPr>
            <w:r w:rsidRPr="00066710">
              <w:rPr>
                <w:color w:val="000000"/>
                <w:sz w:val="16"/>
              </w:rPr>
              <w:t>Latvia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81DB48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6A3D3D9" w14:textId="77777777" w:rsidR="00286810" w:rsidRPr="00066710" w:rsidRDefault="00286810" w:rsidP="004877F2">
            <w:pPr>
              <w:jc w:val="right"/>
              <w:rPr>
                <w:rFonts w:cstheme="minorHAnsi"/>
                <w:color w:val="000000"/>
                <w:sz w:val="16"/>
                <w:szCs w:val="16"/>
              </w:rPr>
            </w:pPr>
            <w:r w:rsidRPr="00066710">
              <w:rPr>
                <w:color w:val="000000"/>
                <w:sz w:val="16"/>
              </w:rPr>
              <w:t>61.3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602EAD8" w14:textId="77777777" w:rsidR="00286810" w:rsidRPr="00066710" w:rsidRDefault="00286810" w:rsidP="004877F2">
            <w:pPr>
              <w:jc w:val="right"/>
              <w:rPr>
                <w:rFonts w:cstheme="minorHAnsi"/>
                <w:color w:val="000000"/>
                <w:sz w:val="16"/>
                <w:szCs w:val="16"/>
              </w:rPr>
            </w:pPr>
            <w:r w:rsidRPr="00066710">
              <w:rPr>
                <w:color w:val="000000"/>
                <w:sz w:val="16"/>
              </w:rPr>
              <w:t>107.3</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8F85774" w14:textId="77777777" w:rsidR="00286810" w:rsidRPr="00066710" w:rsidRDefault="00286810" w:rsidP="004877F2">
            <w:pPr>
              <w:jc w:val="right"/>
              <w:rPr>
                <w:rFonts w:cstheme="minorHAnsi"/>
                <w:color w:val="000000"/>
                <w:sz w:val="16"/>
                <w:szCs w:val="16"/>
              </w:rPr>
            </w:pPr>
            <w:r w:rsidRPr="00066710">
              <w:rPr>
                <w:color w:val="000000"/>
                <w:sz w:val="16"/>
              </w:rPr>
              <w:t>74.9</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3FE81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B68F5F" w14:textId="77777777" w:rsidR="00286810" w:rsidRPr="00066710" w:rsidRDefault="00286810" w:rsidP="004877F2">
            <w:pPr>
              <w:jc w:val="right"/>
              <w:rPr>
                <w:rFonts w:cstheme="minorHAnsi"/>
                <w:color w:val="000000"/>
                <w:sz w:val="16"/>
                <w:szCs w:val="16"/>
              </w:rPr>
            </w:pPr>
            <w:r w:rsidRPr="00066710">
              <w:rPr>
                <w:color w:val="000000"/>
                <w:sz w:val="16"/>
              </w:rPr>
              <w:t>260.5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A6F606" w14:textId="77777777" w:rsidR="00286810" w:rsidRPr="00066710" w:rsidRDefault="00286810" w:rsidP="004877F2">
            <w:pPr>
              <w:jc w:val="right"/>
              <w:rPr>
                <w:rFonts w:cstheme="minorHAnsi"/>
                <w:color w:val="000000"/>
                <w:sz w:val="16"/>
                <w:szCs w:val="16"/>
              </w:rPr>
            </w:pPr>
            <w:r w:rsidRPr="00066710">
              <w:rPr>
                <w:color w:val="000000"/>
                <w:sz w:val="16"/>
              </w:rPr>
              <w:t>201.7</w:t>
            </w:r>
          </w:p>
        </w:tc>
        <w:tc>
          <w:tcPr>
            <w:tcW w:w="670" w:type="dxa"/>
            <w:tcBorders>
              <w:top w:val="nil"/>
              <w:left w:val="nil"/>
              <w:bottom w:val="single" w:sz="4" w:space="0" w:color="FFFFFF" w:themeColor="background1"/>
              <w:right w:val="nil"/>
            </w:tcBorders>
            <w:shd w:val="clear" w:color="auto" w:fill="auto"/>
            <w:noWrap/>
            <w:vAlign w:val="bottom"/>
            <w:hideMark/>
          </w:tcPr>
          <w:p w14:paraId="1E38F4BC" w14:textId="77777777" w:rsidR="00286810" w:rsidRPr="00066710" w:rsidRDefault="00286810" w:rsidP="004877F2">
            <w:pPr>
              <w:jc w:val="right"/>
              <w:rPr>
                <w:rFonts w:cstheme="minorHAnsi"/>
                <w:color w:val="000000"/>
                <w:sz w:val="16"/>
                <w:szCs w:val="16"/>
              </w:rPr>
            </w:pPr>
            <w:r w:rsidRPr="00066710">
              <w:rPr>
                <w:color w:val="000000"/>
                <w:sz w:val="16"/>
              </w:rPr>
              <w:t>-22.6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A119EC0" w14:textId="77777777" w:rsidR="00286810" w:rsidRPr="00066710" w:rsidRDefault="00286810" w:rsidP="004877F2">
            <w:pPr>
              <w:jc w:val="right"/>
              <w:rPr>
                <w:rFonts w:cstheme="minorHAnsi"/>
                <w:color w:val="000000"/>
                <w:sz w:val="16"/>
                <w:szCs w:val="16"/>
              </w:rPr>
            </w:pPr>
            <w:r w:rsidRPr="00066710">
              <w:rPr>
                <w:color w:val="000000"/>
                <w:sz w:val="16"/>
              </w:rPr>
              <w:t>188.0</w:t>
            </w:r>
          </w:p>
        </w:tc>
      </w:tr>
      <w:tr w:rsidR="00286810" w:rsidRPr="00066710" w14:paraId="65BE7A70" w14:textId="77777777" w:rsidTr="004877F2">
        <w:tc>
          <w:tcPr>
            <w:tcW w:w="1296" w:type="dxa"/>
            <w:tcBorders>
              <w:top w:val="single" w:sz="4" w:space="0" w:color="auto"/>
              <w:left w:val="single" w:sz="4" w:space="0" w:color="auto"/>
              <w:bottom w:val="single" w:sz="4" w:space="0" w:color="auto"/>
              <w:right w:val="nil"/>
            </w:tcBorders>
            <w:shd w:val="clear" w:color="auto" w:fill="auto"/>
            <w:vAlign w:val="bottom"/>
            <w:hideMark/>
          </w:tcPr>
          <w:p w14:paraId="6D9D19F9" w14:textId="77777777" w:rsidR="00286810" w:rsidRPr="00066710" w:rsidRDefault="00286810" w:rsidP="004877F2">
            <w:pPr>
              <w:rPr>
                <w:rFonts w:cstheme="minorHAnsi"/>
                <w:b/>
                <w:bCs/>
                <w:color w:val="000000"/>
                <w:sz w:val="16"/>
                <w:szCs w:val="16"/>
              </w:rPr>
            </w:pPr>
            <w:r w:rsidRPr="00066710">
              <w:rPr>
                <w:b/>
                <w:color w:val="000000"/>
                <w:sz w:val="16"/>
              </w:rPr>
              <w:t>European Union</w:t>
            </w:r>
          </w:p>
        </w:tc>
        <w:tc>
          <w:tcPr>
            <w:tcW w:w="899" w:type="dxa"/>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14:paraId="3EFA4777" w14:textId="77777777" w:rsidR="00286810" w:rsidRPr="00066710" w:rsidRDefault="00286810" w:rsidP="004877F2">
            <w:pPr>
              <w:jc w:val="right"/>
              <w:rPr>
                <w:rFonts w:cstheme="minorHAnsi"/>
                <w:b/>
                <w:bCs/>
                <w:color w:val="000000"/>
                <w:sz w:val="16"/>
                <w:szCs w:val="16"/>
              </w:rPr>
            </w:pPr>
            <w:r w:rsidRPr="00066710">
              <w:rPr>
                <w:b/>
                <w:color w:val="000000"/>
                <w:sz w:val="16"/>
              </w:rPr>
              <w:t>53.1</w:t>
            </w:r>
          </w:p>
        </w:tc>
        <w:tc>
          <w:tcPr>
            <w:tcW w:w="985" w:type="dxa"/>
            <w:tcBorders>
              <w:top w:val="single" w:sz="4" w:space="0" w:color="auto"/>
              <w:left w:val="nil"/>
              <w:bottom w:val="single" w:sz="4" w:space="0" w:color="auto"/>
              <w:right w:val="single" w:sz="4" w:space="0" w:color="FFFFFF" w:themeColor="background1"/>
            </w:tcBorders>
            <w:shd w:val="clear" w:color="auto" w:fill="auto"/>
            <w:vAlign w:val="bottom"/>
            <w:hideMark/>
          </w:tcPr>
          <w:p w14:paraId="22946A30" w14:textId="77777777" w:rsidR="00286810" w:rsidRPr="00066710" w:rsidRDefault="00286810" w:rsidP="004877F2">
            <w:pPr>
              <w:jc w:val="right"/>
              <w:rPr>
                <w:rFonts w:cstheme="minorHAnsi"/>
                <w:b/>
                <w:bCs/>
                <w:color w:val="000000"/>
                <w:sz w:val="16"/>
                <w:szCs w:val="16"/>
              </w:rPr>
            </w:pPr>
            <w:r w:rsidRPr="00066710">
              <w:rPr>
                <w:b/>
                <w:color w:val="000000"/>
                <w:sz w:val="16"/>
              </w:rPr>
              <w:t>957,657.9</w:t>
            </w:r>
          </w:p>
        </w:tc>
        <w:tc>
          <w:tcPr>
            <w:tcW w:w="985" w:type="dxa"/>
            <w:tcBorders>
              <w:top w:val="single" w:sz="4" w:space="0" w:color="auto"/>
              <w:left w:val="nil"/>
              <w:bottom w:val="single" w:sz="4" w:space="0" w:color="auto"/>
              <w:right w:val="single" w:sz="4" w:space="0" w:color="FFFFFF" w:themeColor="background1"/>
            </w:tcBorders>
            <w:shd w:val="clear" w:color="auto" w:fill="auto"/>
            <w:vAlign w:val="bottom"/>
            <w:hideMark/>
          </w:tcPr>
          <w:p w14:paraId="32BA71A1" w14:textId="77777777" w:rsidR="00286810" w:rsidRPr="00066710" w:rsidRDefault="00286810" w:rsidP="004877F2">
            <w:pPr>
              <w:jc w:val="right"/>
              <w:rPr>
                <w:rFonts w:cstheme="minorHAnsi"/>
                <w:b/>
                <w:bCs/>
                <w:color w:val="000000"/>
                <w:sz w:val="16"/>
                <w:szCs w:val="16"/>
              </w:rPr>
            </w:pPr>
            <w:r w:rsidRPr="00066710">
              <w:rPr>
                <w:b/>
                <w:color w:val="000000"/>
                <w:sz w:val="16"/>
              </w:rPr>
              <w:t>780,129.2</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35A5FE30" w14:textId="77777777" w:rsidR="00286810" w:rsidRPr="00066710" w:rsidRDefault="00286810" w:rsidP="004877F2">
            <w:pPr>
              <w:jc w:val="right"/>
              <w:rPr>
                <w:rFonts w:cstheme="minorHAnsi"/>
                <w:b/>
                <w:bCs/>
                <w:color w:val="000000"/>
                <w:sz w:val="16"/>
                <w:szCs w:val="16"/>
              </w:rPr>
            </w:pPr>
            <w:r w:rsidRPr="00066710">
              <w:rPr>
                <w:b/>
                <w:color w:val="000000"/>
                <w:sz w:val="16"/>
              </w:rPr>
              <w:t>-18.5</w:t>
            </w:r>
          </w:p>
        </w:tc>
        <w:tc>
          <w:tcPr>
            <w:tcW w:w="875"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3C1542F7" w14:textId="77777777" w:rsidR="00286810" w:rsidRPr="00066710" w:rsidRDefault="00286810" w:rsidP="004877F2">
            <w:pPr>
              <w:jc w:val="right"/>
              <w:rPr>
                <w:rFonts w:cstheme="minorHAnsi"/>
                <w:b/>
                <w:bCs/>
                <w:color w:val="000000"/>
                <w:sz w:val="16"/>
                <w:szCs w:val="16"/>
              </w:rPr>
            </w:pPr>
            <w:r w:rsidRPr="00066710">
              <w:rPr>
                <w:b/>
                <w:color w:val="000000"/>
                <w:sz w:val="16"/>
              </w:rPr>
              <w:t>90.2</w:t>
            </w:r>
          </w:p>
        </w:tc>
        <w:tc>
          <w:tcPr>
            <w:tcW w:w="850"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16B6DB2B" w14:textId="77777777" w:rsidR="00286810" w:rsidRPr="00066710" w:rsidRDefault="00286810" w:rsidP="004877F2">
            <w:pPr>
              <w:jc w:val="right"/>
              <w:rPr>
                <w:rFonts w:cstheme="minorHAnsi"/>
                <w:b/>
                <w:bCs/>
                <w:color w:val="000000"/>
                <w:sz w:val="16"/>
                <w:szCs w:val="16"/>
              </w:rPr>
            </w:pPr>
            <w:r w:rsidRPr="00066710">
              <w:rPr>
                <w:b/>
                <w:color w:val="000000"/>
                <w:sz w:val="16"/>
              </w:rPr>
              <w:t>770,387.7</w:t>
            </w:r>
          </w:p>
        </w:tc>
        <w:tc>
          <w:tcPr>
            <w:tcW w:w="850"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0002C782" w14:textId="77777777" w:rsidR="00286810" w:rsidRPr="00066710" w:rsidRDefault="00286810" w:rsidP="004877F2">
            <w:pPr>
              <w:jc w:val="right"/>
              <w:rPr>
                <w:rFonts w:cstheme="minorHAnsi"/>
                <w:b/>
                <w:bCs/>
                <w:color w:val="000000"/>
                <w:sz w:val="16"/>
                <w:szCs w:val="16"/>
              </w:rPr>
            </w:pPr>
            <w:r w:rsidRPr="00066710">
              <w:rPr>
                <w:b/>
                <w:color w:val="000000"/>
                <w:sz w:val="16"/>
              </w:rPr>
              <w:t>784,202.6</w:t>
            </w:r>
          </w:p>
        </w:tc>
        <w:tc>
          <w:tcPr>
            <w:tcW w:w="670" w:type="dxa"/>
            <w:tcBorders>
              <w:top w:val="single" w:sz="4" w:space="0" w:color="auto"/>
              <w:left w:val="nil"/>
              <w:bottom w:val="single" w:sz="4" w:space="0" w:color="auto"/>
              <w:right w:val="nil"/>
            </w:tcBorders>
            <w:shd w:val="clear" w:color="auto" w:fill="auto"/>
            <w:noWrap/>
            <w:vAlign w:val="bottom"/>
            <w:hideMark/>
          </w:tcPr>
          <w:p w14:paraId="05AC7343" w14:textId="77777777" w:rsidR="00286810" w:rsidRPr="00066710" w:rsidRDefault="00286810" w:rsidP="004877F2">
            <w:pPr>
              <w:jc w:val="right"/>
              <w:rPr>
                <w:rFonts w:cstheme="minorHAnsi"/>
                <w:b/>
                <w:bCs/>
                <w:color w:val="000000"/>
                <w:sz w:val="16"/>
                <w:szCs w:val="16"/>
              </w:rPr>
            </w:pPr>
            <w:r w:rsidRPr="00066710">
              <w:rPr>
                <w:b/>
                <w:color w:val="000000"/>
                <w:sz w:val="16"/>
              </w:rPr>
              <w:t>1.8</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8B30" w14:textId="77777777" w:rsidR="00286810" w:rsidRPr="00066710" w:rsidRDefault="00286810" w:rsidP="004877F2">
            <w:pPr>
              <w:jc w:val="right"/>
              <w:rPr>
                <w:rFonts w:cstheme="minorHAnsi"/>
                <w:b/>
                <w:bCs/>
                <w:color w:val="000000"/>
                <w:sz w:val="16"/>
                <w:szCs w:val="16"/>
              </w:rPr>
            </w:pPr>
            <w:r w:rsidRPr="00066710">
              <w:rPr>
                <w:b/>
                <w:color w:val="000000"/>
                <w:sz w:val="16"/>
              </w:rPr>
              <w:t>100.5</w:t>
            </w:r>
          </w:p>
        </w:tc>
      </w:tr>
      <w:tr w:rsidR="00286810" w:rsidRPr="00066710" w14:paraId="634A346B" w14:textId="77777777" w:rsidTr="004877F2">
        <w:tc>
          <w:tcPr>
            <w:tcW w:w="1296"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576BFECA" w14:textId="77777777" w:rsidR="00286810" w:rsidRPr="00066710" w:rsidRDefault="00286810" w:rsidP="004877F2">
            <w:pPr>
              <w:rPr>
                <w:rFonts w:cstheme="minorHAnsi"/>
                <w:color w:val="000000"/>
                <w:sz w:val="16"/>
                <w:szCs w:val="16"/>
              </w:rPr>
            </w:pPr>
            <w:r w:rsidRPr="00066710">
              <w:rPr>
                <w:color w:val="000000"/>
                <w:sz w:val="16"/>
              </w:rPr>
              <w:t>United Kingdom</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51A7EFF" w14:textId="77777777" w:rsidR="00286810" w:rsidRPr="00066710" w:rsidRDefault="00286810" w:rsidP="004877F2">
            <w:pPr>
              <w:jc w:val="right"/>
              <w:rPr>
                <w:rFonts w:cstheme="minorHAnsi"/>
                <w:color w:val="000000"/>
                <w:sz w:val="16"/>
                <w:szCs w:val="16"/>
              </w:rPr>
            </w:pPr>
            <w:r w:rsidRPr="00066710">
              <w:rPr>
                <w:color w:val="000000"/>
                <w:sz w:val="16"/>
              </w:rPr>
              <w:t>0.7</w:t>
            </w:r>
          </w:p>
        </w:tc>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4486E0E4" w14:textId="77777777" w:rsidR="00286810" w:rsidRPr="00066710" w:rsidRDefault="00286810" w:rsidP="004877F2">
            <w:pPr>
              <w:jc w:val="right"/>
              <w:rPr>
                <w:rFonts w:cstheme="minorHAnsi"/>
                <w:color w:val="000000"/>
                <w:sz w:val="16"/>
                <w:szCs w:val="16"/>
              </w:rPr>
            </w:pPr>
            <w:r w:rsidRPr="00066710">
              <w:rPr>
                <w:color w:val="000000"/>
                <w:sz w:val="16"/>
              </w:rPr>
              <w:t>14,760.1</w:t>
            </w:r>
          </w:p>
        </w:tc>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056E6605" w14:textId="77777777" w:rsidR="00286810" w:rsidRPr="00066710" w:rsidRDefault="00286810" w:rsidP="004877F2">
            <w:pPr>
              <w:jc w:val="right"/>
              <w:rPr>
                <w:rFonts w:cstheme="minorHAnsi"/>
                <w:color w:val="000000"/>
                <w:sz w:val="16"/>
                <w:szCs w:val="16"/>
              </w:rPr>
            </w:pPr>
            <w:r w:rsidRPr="00066710">
              <w:rPr>
                <w:color w:val="000000"/>
                <w:sz w:val="16"/>
              </w:rPr>
              <w:t>10,607.2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74C8376" w14:textId="77777777" w:rsidR="00286810" w:rsidRPr="00066710" w:rsidRDefault="00286810" w:rsidP="004877F2">
            <w:pPr>
              <w:jc w:val="right"/>
              <w:rPr>
                <w:rFonts w:cstheme="minorHAnsi"/>
                <w:color w:val="000000"/>
                <w:sz w:val="16"/>
                <w:szCs w:val="16"/>
              </w:rPr>
            </w:pPr>
            <w:r w:rsidRPr="00066710">
              <w:rPr>
                <w:color w:val="000000"/>
                <w:sz w:val="16"/>
              </w:rPr>
              <w:t>-28.1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5C482B" w14:textId="77777777" w:rsidR="00286810" w:rsidRPr="00066710" w:rsidRDefault="00286810" w:rsidP="004877F2">
            <w:pPr>
              <w:jc w:val="right"/>
              <w:rPr>
                <w:rFonts w:cstheme="minorHAnsi"/>
                <w:color w:val="000000"/>
                <w:sz w:val="16"/>
                <w:szCs w:val="16"/>
              </w:rPr>
            </w:pPr>
            <w:r w:rsidRPr="00066710">
              <w:rPr>
                <w:color w:val="000000"/>
                <w:sz w:val="16"/>
              </w:rPr>
              <w:t>2.7</w:t>
            </w:r>
          </w:p>
        </w:tc>
        <w:tc>
          <w:tcPr>
            <w:tcW w:w="85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8496EAA" w14:textId="77777777" w:rsidR="00286810" w:rsidRPr="00066710" w:rsidRDefault="00286810" w:rsidP="004877F2">
            <w:pPr>
              <w:jc w:val="right"/>
              <w:rPr>
                <w:rFonts w:cstheme="minorHAnsi"/>
                <w:color w:val="000000"/>
                <w:sz w:val="16"/>
                <w:szCs w:val="16"/>
              </w:rPr>
            </w:pPr>
            <w:r w:rsidRPr="00066710">
              <w:rPr>
                <w:color w:val="000000"/>
                <w:sz w:val="16"/>
              </w:rPr>
              <w:t>25,730.1</w:t>
            </w:r>
          </w:p>
        </w:tc>
        <w:tc>
          <w:tcPr>
            <w:tcW w:w="85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4274FD0" w14:textId="77777777" w:rsidR="00286810" w:rsidRPr="00066710" w:rsidRDefault="00286810" w:rsidP="004877F2">
            <w:pPr>
              <w:jc w:val="right"/>
              <w:rPr>
                <w:rFonts w:cstheme="minorHAnsi"/>
                <w:color w:val="000000"/>
                <w:sz w:val="16"/>
                <w:szCs w:val="16"/>
              </w:rPr>
            </w:pPr>
            <w:r w:rsidRPr="00066710">
              <w:rPr>
                <w:color w:val="000000"/>
                <w:sz w:val="16"/>
              </w:rPr>
              <w:t>23,214.0</w:t>
            </w:r>
          </w:p>
        </w:tc>
        <w:tc>
          <w:tcPr>
            <w:tcW w:w="670" w:type="dxa"/>
            <w:tcBorders>
              <w:top w:val="nil"/>
              <w:left w:val="nil"/>
              <w:bottom w:val="single" w:sz="4" w:space="0" w:color="FFFFFF" w:themeColor="background1"/>
              <w:right w:val="nil"/>
            </w:tcBorders>
            <w:shd w:val="clear" w:color="auto" w:fill="auto"/>
            <w:noWrap/>
            <w:vAlign w:val="bottom"/>
            <w:hideMark/>
          </w:tcPr>
          <w:p w14:paraId="532DD985" w14:textId="77777777" w:rsidR="00286810" w:rsidRPr="00066710" w:rsidRDefault="00286810" w:rsidP="004877F2">
            <w:pPr>
              <w:jc w:val="right"/>
              <w:rPr>
                <w:rFonts w:cstheme="minorHAnsi"/>
                <w:color w:val="000000"/>
                <w:sz w:val="16"/>
                <w:szCs w:val="16"/>
              </w:rPr>
            </w:pPr>
            <w:r w:rsidRPr="00066710">
              <w:rPr>
                <w:color w:val="000000"/>
                <w:sz w:val="16"/>
              </w:rPr>
              <w:t>-9.8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0FE9FEE" w14:textId="77777777" w:rsidR="00286810" w:rsidRPr="00066710" w:rsidRDefault="00286810" w:rsidP="004877F2">
            <w:pPr>
              <w:jc w:val="right"/>
              <w:rPr>
                <w:rFonts w:cstheme="minorHAnsi"/>
                <w:color w:val="000000"/>
                <w:sz w:val="16"/>
                <w:szCs w:val="16"/>
              </w:rPr>
            </w:pPr>
            <w:r w:rsidRPr="00066710">
              <w:rPr>
                <w:color w:val="000000"/>
                <w:sz w:val="16"/>
              </w:rPr>
              <w:t>218.9</w:t>
            </w:r>
          </w:p>
        </w:tc>
      </w:tr>
      <w:tr w:rsidR="00286810" w:rsidRPr="00066710" w14:paraId="7C2376C6"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0C9C73C" w14:textId="77777777" w:rsidR="00286810" w:rsidRPr="00066710" w:rsidRDefault="00286810" w:rsidP="004877F2">
            <w:pPr>
              <w:rPr>
                <w:rFonts w:cstheme="minorHAnsi"/>
                <w:color w:val="000000"/>
                <w:sz w:val="16"/>
                <w:szCs w:val="16"/>
              </w:rPr>
            </w:pPr>
            <w:r w:rsidRPr="00066710">
              <w:rPr>
                <w:color w:val="000000"/>
                <w:sz w:val="16"/>
              </w:rPr>
              <w:t>USA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ED24E2"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FACD501" w14:textId="77777777" w:rsidR="00286810" w:rsidRPr="00066710" w:rsidRDefault="00286810" w:rsidP="004877F2">
            <w:pPr>
              <w:jc w:val="right"/>
              <w:rPr>
                <w:rFonts w:cstheme="minorHAnsi"/>
                <w:color w:val="000000"/>
                <w:sz w:val="16"/>
                <w:szCs w:val="16"/>
              </w:rPr>
            </w:pPr>
            <w:r w:rsidRPr="00066710">
              <w:rPr>
                <w:color w:val="000000"/>
                <w:sz w:val="16"/>
              </w:rPr>
              <w:t>3,442.6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4747E93" w14:textId="77777777" w:rsidR="00286810" w:rsidRPr="00066710" w:rsidRDefault="00286810" w:rsidP="004877F2">
            <w:pPr>
              <w:jc w:val="right"/>
              <w:rPr>
                <w:rFonts w:cstheme="minorHAnsi"/>
                <w:color w:val="000000"/>
                <w:sz w:val="16"/>
                <w:szCs w:val="16"/>
              </w:rPr>
            </w:pPr>
            <w:r w:rsidRPr="00066710">
              <w:rPr>
                <w:color w:val="000000"/>
                <w:sz w:val="16"/>
              </w:rPr>
              <w:t>2,987.6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428A6F2" w14:textId="77777777" w:rsidR="00286810" w:rsidRPr="00066710" w:rsidRDefault="00286810" w:rsidP="004877F2">
            <w:pPr>
              <w:jc w:val="right"/>
              <w:rPr>
                <w:rFonts w:cstheme="minorHAnsi"/>
                <w:color w:val="000000"/>
                <w:sz w:val="16"/>
                <w:szCs w:val="16"/>
              </w:rPr>
            </w:pPr>
            <w:r w:rsidRPr="00066710">
              <w:rPr>
                <w:color w:val="000000"/>
                <w:sz w:val="16"/>
              </w:rPr>
              <w:t>-13.2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9947B6" w14:textId="77777777" w:rsidR="00286810" w:rsidRPr="00066710" w:rsidRDefault="00286810" w:rsidP="004877F2">
            <w:pPr>
              <w:jc w:val="right"/>
              <w:rPr>
                <w:rFonts w:cstheme="minorHAnsi"/>
                <w:color w:val="000000"/>
                <w:sz w:val="16"/>
                <w:szCs w:val="16"/>
              </w:rPr>
            </w:pPr>
            <w:r w:rsidRPr="00066710">
              <w:rPr>
                <w:color w:val="000000"/>
                <w:sz w:val="16"/>
              </w:rPr>
              <w:t>2.0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60FAFD" w14:textId="77777777" w:rsidR="00286810" w:rsidRPr="00066710" w:rsidRDefault="00286810" w:rsidP="004877F2">
            <w:pPr>
              <w:jc w:val="right"/>
              <w:rPr>
                <w:rFonts w:cstheme="minorHAnsi"/>
                <w:color w:val="000000"/>
                <w:sz w:val="16"/>
                <w:szCs w:val="16"/>
              </w:rPr>
            </w:pPr>
            <w:r w:rsidRPr="00066710">
              <w:rPr>
                <w:color w:val="000000"/>
                <w:sz w:val="16"/>
              </w:rPr>
              <w:t>15,892.7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89AF14" w14:textId="77777777" w:rsidR="00286810" w:rsidRPr="00066710" w:rsidRDefault="00286810" w:rsidP="004877F2">
            <w:pPr>
              <w:jc w:val="right"/>
              <w:rPr>
                <w:rFonts w:cstheme="minorHAnsi"/>
                <w:color w:val="000000"/>
                <w:sz w:val="16"/>
                <w:szCs w:val="16"/>
              </w:rPr>
            </w:pPr>
            <w:r w:rsidRPr="00066710">
              <w:rPr>
                <w:color w:val="000000"/>
                <w:sz w:val="16"/>
              </w:rPr>
              <w:t>17,660.9</w:t>
            </w:r>
          </w:p>
        </w:tc>
        <w:tc>
          <w:tcPr>
            <w:tcW w:w="670" w:type="dxa"/>
            <w:tcBorders>
              <w:top w:val="nil"/>
              <w:left w:val="nil"/>
              <w:bottom w:val="single" w:sz="4" w:space="0" w:color="FFFFFF" w:themeColor="background1"/>
              <w:right w:val="nil"/>
            </w:tcBorders>
            <w:shd w:val="clear" w:color="auto" w:fill="auto"/>
            <w:noWrap/>
            <w:vAlign w:val="bottom"/>
            <w:hideMark/>
          </w:tcPr>
          <w:p w14:paraId="2D0E4CC9" w14:textId="77777777" w:rsidR="00286810" w:rsidRPr="00066710" w:rsidRDefault="00286810" w:rsidP="004877F2">
            <w:pPr>
              <w:jc w:val="right"/>
              <w:rPr>
                <w:rFonts w:cstheme="minorHAnsi"/>
                <w:color w:val="000000"/>
                <w:sz w:val="16"/>
                <w:szCs w:val="16"/>
              </w:rPr>
            </w:pPr>
            <w:r w:rsidRPr="00066710">
              <w:rPr>
                <w:color w:val="000000"/>
                <w:sz w:val="16"/>
              </w:rPr>
              <w:t>11.1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8A48F8B" w14:textId="77777777" w:rsidR="00286810" w:rsidRPr="00066710" w:rsidRDefault="00286810" w:rsidP="004877F2">
            <w:pPr>
              <w:jc w:val="right"/>
              <w:rPr>
                <w:rFonts w:cstheme="minorHAnsi"/>
                <w:color w:val="000000"/>
                <w:sz w:val="16"/>
                <w:szCs w:val="16"/>
              </w:rPr>
            </w:pPr>
            <w:r w:rsidRPr="00066710">
              <w:rPr>
                <w:color w:val="000000"/>
                <w:sz w:val="16"/>
              </w:rPr>
              <w:t>591.1</w:t>
            </w:r>
          </w:p>
        </w:tc>
      </w:tr>
      <w:tr w:rsidR="00286810" w:rsidRPr="00066710" w14:paraId="0C11F48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7907B5E" w14:textId="77777777" w:rsidR="00286810" w:rsidRPr="00066710" w:rsidRDefault="00286810" w:rsidP="004877F2">
            <w:pPr>
              <w:rPr>
                <w:rFonts w:cstheme="minorHAnsi"/>
                <w:color w:val="000000"/>
                <w:sz w:val="16"/>
                <w:szCs w:val="16"/>
              </w:rPr>
            </w:pPr>
            <w:r w:rsidRPr="00066710">
              <w:rPr>
                <w:color w:val="000000"/>
                <w:sz w:val="16"/>
              </w:rPr>
              <w:t>Switzerland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CD9C5A6"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9805EED" w14:textId="77777777" w:rsidR="00286810" w:rsidRPr="00066710" w:rsidRDefault="00286810" w:rsidP="004877F2">
            <w:pPr>
              <w:jc w:val="right"/>
              <w:rPr>
                <w:rFonts w:cstheme="minorHAnsi"/>
                <w:color w:val="000000"/>
                <w:sz w:val="16"/>
                <w:szCs w:val="16"/>
              </w:rPr>
            </w:pPr>
            <w:r w:rsidRPr="00066710">
              <w:rPr>
                <w:color w:val="000000"/>
                <w:sz w:val="16"/>
              </w:rPr>
              <w:t>1,525.3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CC67A0B" w14:textId="77777777" w:rsidR="00286810" w:rsidRPr="00066710" w:rsidRDefault="00286810" w:rsidP="004877F2">
            <w:pPr>
              <w:jc w:val="right"/>
              <w:rPr>
                <w:rFonts w:cstheme="minorHAnsi"/>
                <w:color w:val="000000"/>
                <w:sz w:val="16"/>
                <w:szCs w:val="16"/>
              </w:rPr>
            </w:pPr>
            <w:r w:rsidRPr="00066710">
              <w:rPr>
                <w:color w:val="000000"/>
                <w:sz w:val="16"/>
              </w:rPr>
              <w:t>1,299.5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544F0EE" w14:textId="77777777" w:rsidR="00286810" w:rsidRPr="00066710" w:rsidRDefault="00286810" w:rsidP="004877F2">
            <w:pPr>
              <w:jc w:val="right"/>
              <w:rPr>
                <w:rFonts w:cstheme="minorHAnsi"/>
                <w:color w:val="000000"/>
                <w:sz w:val="16"/>
                <w:szCs w:val="16"/>
              </w:rPr>
            </w:pPr>
            <w:r w:rsidRPr="00066710">
              <w:rPr>
                <w:color w:val="000000"/>
                <w:sz w:val="16"/>
              </w:rPr>
              <w:t>-14.8</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DBBABF" w14:textId="77777777" w:rsidR="00286810" w:rsidRPr="00066710" w:rsidRDefault="00286810" w:rsidP="004877F2">
            <w:pPr>
              <w:jc w:val="right"/>
              <w:rPr>
                <w:rFonts w:cstheme="minorHAnsi"/>
                <w:color w:val="000000"/>
                <w:sz w:val="16"/>
                <w:szCs w:val="16"/>
              </w:rPr>
            </w:pPr>
            <w:r w:rsidRPr="00066710">
              <w:rPr>
                <w:color w:val="000000"/>
                <w:sz w:val="16"/>
              </w:rPr>
              <w:t>1.2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97F487" w14:textId="77777777" w:rsidR="00286810" w:rsidRPr="00066710" w:rsidRDefault="00286810" w:rsidP="004877F2">
            <w:pPr>
              <w:jc w:val="right"/>
              <w:rPr>
                <w:rFonts w:cstheme="minorHAnsi"/>
                <w:color w:val="000000"/>
                <w:sz w:val="16"/>
                <w:szCs w:val="16"/>
              </w:rPr>
            </w:pPr>
            <w:r w:rsidRPr="00066710">
              <w:rPr>
                <w:color w:val="000000"/>
                <w:sz w:val="16"/>
              </w:rPr>
              <w:t>12,390.3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8C88EE" w14:textId="77777777" w:rsidR="00286810" w:rsidRPr="00066710" w:rsidRDefault="00286810" w:rsidP="004877F2">
            <w:pPr>
              <w:jc w:val="right"/>
              <w:rPr>
                <w:rFonts w:cstheme="minorHAnsi"/>
                <w:color w:val="000000"/>
                <w:sz w:val="16"/>
                <w:szCs w:val="16"/>
              </w:rPr>
            </w:pPr>
            <w:r w:rsidRPr="00066710">
              <w:rPr>
                <w:color w:val="000000"/>
                <w:sz w:val="16"/>
              </w:rPr>
              <w:t>10,525.9</w:t>
            </w:r>
          </w:p>
        </w:tc>
        <w:tc>
          <w:tcPr>
            <w:tcW w:w="670" w:type="dxa"/>
            <w:tcBorders>
              <w:top w:val="nil"/>
              <w:left w:val="nil"/>
              <w:bottom w:val="single" w:sz="4" w:space="0" w:color="FFFFFF" w:themeColor="background1"/>
              <w:right w:val="nil"/>
            </w:tcBorders>
            <w:shd w:val="clear" w:color="auto" w:fill="auto"/>
            <w:noWrap/>
            <w:vAlign w:val="bottom"/>
            <w:hideMark/>
          </w:tcPr>
          <w:p w14:paraId="526DE60B" w14:textId="77777777" w:rsidR="00286810" w:rsidRPr="00066710" w:rsidRDefault="00286810" w:rsidP="004877F2">
            <w:pPr>
              <w:jc w:val="right"/>
              <w:rPr>
                <w:rFonts w:cstheme="minorHAnsi"/>
                <w:color w:val="000000"/>
                <w:sz w:val="16"/>
                <w:szCs w:val="16"/>
              </w:rPr>
            </w:pPr>
            <w:r w:rsidRPr="00066710">
              <w:rPr>
                <w:color w:val="000000"/>
                <w:sz w:val="16"/>
              </w:rPr>
              <w:t>-15.0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1F1267" w14:textId="77777777" w:rsidR="00286810" w:rsidRPr="00066710" w:rsidRDefault="00286810" w:rsidP="004877F2">
            <w:pPr>
              <w:jc w:val="right"/>
              <w:rPr>
                <w:rFonts w:cstheme="minorHAnsi"/>
                <w:color w:val="000000"/>
                <w:sz w:val="16"/>
                <w:szCs w:val="16"/>
              </w:rPr>
            </w:pPr>
            <w:r w:rsidRPr="00066710">
              <w:rPr>
                <w:color w:val="000000"/>
                <w:sz w:val="16"/>
              </w:rPr>
              <w:t>810.0</w:t>
            </w:r>
          </w:p>
        </w:tc>
      </w:tr>
      <w:tr w:rsidR="00286810" w:rsidRPr="00066710" w14:paraId="2EC8EAE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7DEA33B" w14:textId="77777777" w:rsidR="00286810" w:rsidRPr="00066710" w:rsidRDefault="00286810" w:rsidP="004877F2">
            <w:pPr>
              <w:rPr>
                <w:rFonts w:cstheme="minorHAnsi"/>
                <w:color w:val="000000"/>
                <w:sz w:val="16"/>
                <w:szCs w:val="16"/>
              </w:rPr>
            </w:pPr>
            <w:r w:rsidRPr="00066710">
              <w:rPr>
                <w:color w:val="000000"/>
                <w:sz w:val="16"/>
              </w:rPr>
              <w:t>Australia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28CD2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F5305EA" w14:textId="77777777" w:rsidR="00286810" w:rsidRPr="00066710" w:rsidRDefault="00286810" w:rsidP="004877F2">
            <w:pPr>
              <w:jc w:val="right"/>
              <w:rPr>
                <w:rFonts w:cstheme="minorHAnsi"/>
                <w:color w:val="000000"/>
                <w:sz w:val="16"/>
                <w:szCs w:val="16"/>
              </w:rPr>
            </w:pPr>
            <w:r w:rsidRPr="00066710">
              <w:rPr>
                <w:color w:val="000000"/>
                <w:sz w:val="16"/>
              </w:rPr>
              <w:t>68.4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16DD6A" w14:textId="77777777" w:rsidR="00286810" w:rsidRPr="00066710" w:rsidRDefault="00286810" w:rsidP="004877F2">
            <w:pPr>
              <w:jc w:val="right"/>
              <w:rPr>
                <w:rFonts w:cstheme="minorHAnsi"/>
                <w:color w:val="000000"/>
                <w:sz w:val="16"/>
                <w:szCs w:val="16"/>
              </w:rPr>
            </w:pPr>
            <w:r w:rsidRPr="00066710">
              <w:rPr>
                <w:color w:val="000000"/>
                <w:sz w:val="16"/>
              </w:rPr>
              <w:t>17.4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B390BA5" w14:textId="77777777" w:rsidR="00286810" w:rsidRPr="00066710" w:rsidRDefault="00286810" w:rsidP="004877F2">
            <w:pPr>
              <w:jc w:val="right"/>
              <w:rPr>
                <w:rFonts w:cstheme="minorHAnsi"/>
                <w:color w:val="000000"/>
                <w:sz w:val="16"/>
                <w:szCs w:val="16"/>
              </w:rPr>
            </w:pPr>
            <w:r w:rsidRPr="00066710">
              <w:rPr>
                <w:color w:val="000000"/>
                <w:sz w:val="16"/>
              </w:rPr>
              <w:t>-74.5</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806E24" w14:textId="77777777" w:rsidR="00286810" w:rsidRPr="00066710" w:rsidRDefault="00286810" w:rsidP="004877F2">
            <w:pPr>
              <w:jc w:val="right"/>
              <w:rPr>
                <w:rFonts w:cstheme="minorHAnsi"/>
                <w:color w:val="000000"/>
                <w:sz w:val="16"/>
                <w:szCs w:val="16"/>
              </w:rPr>
            </w:pPr>
            <w:r w:rsidRPr="00066710">
              <w:rPr>
                <w:color w:val="000000"/>
                <w:sz w:val="16"/>
              </w:rPr>
              <w:t>0.4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0E3392" w14:textId="77777777" w:rsidR="00286810" w:rsidRPr="00066710" w:rsidRDefault="00286810" w:rsidP="004877F2">
            <w:pPr>
              <w:jc w:val="right"/>
              <w:rPr>
                <w:rFonts w:cstheme="minorHAnsi"/>
                <w:color w:val="000000"/>
                <w:sz w:val="16"/>
                <w:szCs w:val="16"/>
              </w:rPr>
            </w:pPr>
            <w:r w:rsidRPr="00066710">
              <w:rPr>
                <w:color w:val="000000"/>
                <w:sz w:val="16"/>
              </w:rPr>
              <w:t>2,516.9</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DD2F5F" w14:textId="77777777" w:rsidR="00286810" w:rsidRPr="00066710" w:rsidRDefault="00286810" w:rsidP="004877F2">
            <w:pPr>
              <w:jc w:val="right"/>
              <w:rPr>
                <w:rFonts w:cstheme="minorHAnsi"/>
                <w:color w:val="000000"/>
                <w:sz w:val="16"/>
                <w:szCs w:val="16"/>
              </w:rPr>
            </w:pPr>
            <w:r w:rsidRPr="00066710">
              <w:rPr>
                <w:color w:val="000000"/>
                <w:sz w:val="16"/>
              </w:rPr>
              <w:t>3,612.0</w:t>
            </w:r>
          </w:p>
        </w:tc>
        <w:tc>
          <w:tcPr>
            <w:tcW w:w="670" w:type="dxa"/>
            <w:tcBorders>
              <w:top w:val="nil"/>
              <w:left w:val="nil"/>
              <w:bottom w:val="single" w:sz="4" w:space="0" w:color="FFFFFF" w:themeColor="background1"/>
              <w:right w:val="nil"/>
            </w:tcBorders>
            <w:shd w:val="clear" w:color="auto" w:fill="auto"/>
            <w:noWrap/>
            <w:vAlign w:val="bottom"/>
            <w:hideMark/>
          </w:tcPr>
          <w:p w14:paraId="176F265B" w14:textId="77777777" w:rsidR="00286810" w:rsidRPr="00066710" w:rsidRDefault="00286810" w:rsidP="004877F2">
            <w:pPr>
              <w:jc w:val="right"/>
              <w:rPr>
                <w:rFonts w:cstheme="minorHAnsi"/>
                <w:color w:val="000000"/>
                <w:sz w:val="16"/>
                <w:szCs w:val="16"/>
              </w:rPr>
            </w:pPr>
            <w:r w:rsidRPr="00066710">
              <w:rPr>
                <w:color w:val="000000"/>
                <w:sz w:val="16"/>
              </w:rPr>
              <w:t>43.5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E1F388B" w14:textId="77777777" w:rsidR="00286810" w:rsidRPr="00066710" w:rsidRDefault="00286810" w:rsidP="004877F2">
            <w:pPr>
              <w:jc w:val="right"/>
              <w:rPr>
                <w:rFonts w:cstheme="minorHAnsi"/>
                <w:color w:val="000000"/>
                <w:sz w:val="16"/>
                <w:szCs w:val="16"/>
              </w:rPr>
            </w:pPr>
            <w:r w:rsidRPr="00066710">
              <w:rPr>
                <w:color w:val="000000"/>
                <w:sz w:val="16"/>
              </w:rPr>
              <w:t>20,718.3</w:t>
            </w:r>
          </w:p>
        </w:tc>
      </w:tr>
      <w:tr w:rsidR="00286810" w:rsidRPr="00066710" w14:paraId="204B33A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CE8D23F" w14:textId="77777777" w:rsidR="00286810" w:rsidRPr="00066710" w:rsidRDefault="00286810" w:rsidP="004877F2">
            <w:pPr>
              <w:rPr>
                <w:rFonts w:cstheme="minorHAnsi"/>
                <w:color w:val="000000"/>
                <w:sz w:val="16"/>
                <w:szCs w:val="16"/>
              </w:rPr>
            </w:pPr>
            <w:r w:rsidRPr="00066710">
              <w:rPr>
                <w:color w:val="000000"/>
                <w:sz w:val="16"/>
              </w:rPr>
              <w:t>Canada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AD6A06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6D4E124" w14:textId="77777777" w:rsidR="00286810" w:rsidRPr="00066710" w:rsidRDefault="00286810" w:rsidP="004877F2">
            <w:pPr>
              <w:jc w:val="right"/>
              <w:rPr>
                <w:rFonts w:cstheme="minorHAnsi"/>
                <w:color w:val="000000"/>
                <w:sz w:val="16"/>
                <w:szCs w:val="16"/>
              </w:rPr>
            </w:pPr>
            <w:r w:rsidRPr="00066710">
              <w:rPr>
                <w:color w:val="000000"/>
                <w:sz w:val="16"/>
              </w:rPr>
              <w:t>843.1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FCE0BBA" w14:textId="77777777" w:rsidR="00286810" w:rsidRPr="00066710" w:rsidRDefault="00286810" w:rsidP="004877F2">
            <w:pPr>
              <w:jc w:val="right"/>
              <w:rPr>
                <w:rFonts w:cstheme="minorHAnsi"/>
                <w:color w:val="000000"/>
                <w:sz w:val="16"/>
                <w:szCs w:val="16"/>
              </w:rPr>
            </w:pPr>
            <w:r w:rsidRPr="00066710">
              <w:rPr>
                <w:color w:val="000000"/>
                <w:sz w:val="16"/>
              </w:rPr>
              <w:t>259.0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EA4BCC1" w14:textId="77777777" w:rsidR="00286810" w:rsidRPr="00066710" w:rsidRDefault="00286810" w:rsidP="004877F2">
            <w:pPr>
              <w:jc w:val="right"/>
              <w:rPr>
                <w:rFonts w:cstheme="minorHAnsi"/>
                <w:color w:val="000000"/>
                <w:sz w:val="16"/>
                <w:szCs w:val="16"/>
              </w:rPr>
            </w:pPr>
            <w:r w:rsidRPr="00066710">
              <w:rPr>
                <w:color w:val="000000"/>
                <w:sz w:val="16"/>
              </w:rPr>
              <w:t>-69.3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EA1E50" w14:textId="77777777" w:rsidR="00286810" w:rsidRPr="00066710" w:rsidRDefault="00286810" w:rsidP="004877F2">
            <w:pPr>
              <w:jc w:val="right"/>
              <w:rPr>
                <w:rFonts w:cstheme="minorHAnsi"/>
                <w:color w:val="000000"/>
                <w:sz w:val="16"/>
                <w:szCs w:val="16"/>
              </w:rPr>
            </w:pPr>
            <w:r w:rsidRPr="00066710">
              <w:rPr>
                <w:color w:val="000000"/>
                <w:sz w:val="16"/>
              </w:rPr>
              <w:t>0.3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99D9F9" w14:textId="77777777" w:rsidR="00286810" w:rsidRPr="00066710" w:rsidRDefault="00286810" w:rsidP="004877F2">
            <w:pPr>
              <w:jc w:val="right"/>
              <w:rPr>
                <w:rFonts w:cstheme="minorHAnsi"/>
                <w:color w:val="000000"/>
                <w:sz w:val="16"/>
                <w:szCs w:val="16"/>
              </w:rPr>
            </w:pPr>
            <w:r w:rsidRPr="00066710">
              <w:rPr>
                <w:color w:val="000000"/>
                <w:sz w:val="16"/>
              </w:rPr>
              <w:t>1,378.3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4C097D" w14:textId="77777777" w:rsidR="00286810" w:rsidRPr="00066710" w:rsidRDefault="00286810" w:rsidP="004877F2">
            <w:pPr>
              <w:jc w:val="right"/>
              <w:rPr>
                <w:rFonts w:cstheme="minorHAnsi"/>
                <w:color w:val="000000"/>
                <w:sz w:val="16"/>
                <w:szCs w:val="16"/>
              </w:rPr>
            </w:pPr>
            <w:r w:rsidRPr="00066710">
              <w:rPr>
                <w:color w:val="000000"/>
                <w:sz w:val="16"/>
              </w:rPr>
              <w:t>2,596.5</w:t>
            </w:r>
          </w:p>
        </w:tc>
        <w:tc>
          <w:tcPr>
            <w:tcW w:w="670" w:type="dxa"/>
            <w:tcBorders>
              <w:top w:val="nil"/>
              <w:left w:val="nil"/>
              <w:bottom w:val="single" w:sz="4" w:space="0" w:color="FFFFFF" w:themeColor="background1"/>
              <w:right w:val="nil"/>
            </w:tcBorders>
            <w:shd w:val="clear" w:color="auto" w:fill="auto"/>
            <w:noWrap/>
            <w:vAlign w:val="bottom"/>
            <w:hideMark/>
          </w:tcPr>
          <w:p w14:paraId="4514C6B1" w14:textId="77777777" w:rsidR="00286810" w:rsidRPr="00066710" w:rsidRDefault="00286810" w:rsidP="004877F2">
            <w:pPr>
              <w:jc w:val="right"/>
              <w:rPr>
                <w:rFonts w:cstheme="minorHAnsi"/>
                <w:color w:val="000000"/>
                <w:sz w:val="16"/>
                <w:szCs w:val="16"/>
              </w:rPr>
            </w:pPr>
            <w:r w:rsidRPr="00066710">
              <w:rPr>
                <w:color w:val="000000"/>
                <w:sz w:val="16"/>
              </w:rPr>
              <w:t>88.4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9175CAD" w14:textId="77777777" w:rsidR="00286810" w:rsidRPr="00066710" w:rsidRDefault="00286810" w:rsidP="004877F2">
            <w:pPr>
              <w:jc w:val="right"/>
              <w:rPr>
                <w:rFonts w:cstheme="minorHAnsi"/>
                <w:color w:val="000000"/>
                <w:sz w:val="16"/>
                <w:szCs w:val="16"/>
              </w:rPr>
            </w:pPr>
            <w:r w:rsidRPr="00066710">
              <w:rPr>
                <w:color w:val="000000"/>
                <w:sz w:val="16"/>
              </w:rPr>
              <w:t>1,002.5</w:t>
            </w:r>
          </w:p>
        </w:tc>
      </w:tr>
      <w:tr w:rsidR="00286810" w:rsidRPr="00066710" w14:paraId="52B5431C"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009B9EF" w14:textId="77777777" w:rsidR="00286810" w:rsidRPr="00066710" w:rsidRDefault="00286810" w:rsidP="004877F2">
            <w:pPr>
              <w:rPr>
                <w:rFonts w:cstheme="minorHAnsi"/>
                <w:color w:val="000000"/>
                <w:sz w:val="16"/>
                <w:szCs w:val="16"/>
              </w:rPr>
            </w:pPr>
            <w:r w:rsidRPr="00066710">
              <w:rPr>
                <w:color w:val="000000"/>
                <w:sz w:val="16"/>
              </w:rPr>
              <w:t>Israel</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02EA9A5" w14:textId="77777777" w:rsidR="00286810" w:rsidRPr="00066710" w:rsidRDefault="00286810" w:rsidP="004877F2">
            <w:pPr>
              <w:jc w:val="right"/>
              <w:rPr>
                <w:rFonts w:cstheme="minorHAnsi"/>
                <w:color w:val="000000"/>
                <w:sz w:val="16"/>
                <w:szCs w:val="16"/>
              </w:rPr>
            </w:pPr>
            <w:r w:rsidRPr="00066710">
              <w:rPr>
                <w:color w:val="000000"/>
                <w:sz w:val="16"/>
              </w:rPr>
              <w:t>0.3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92ECBAC" w14:textId="77777777" w:rsidR="00286810" w:rsidRPr="00066710" w:rsidRDefault="00286810" w:rsidP="004877F2">
            <w:pPr>
              <w:jc w:val="right"/>
              <w:rPr>
                <w:rFonts w:cstheme="minorHAnsi"/>
                <w:color w:val="000000"/>
                <w:sz w:val="16"/>
                <w:szCs w:val="16"/>
              </w:rPr>
            </w:pPr>
            <w:r w:rsidRPr="00066710">
              <w:rPr>
                <w:color w:val="000000"/>
                <w:sz w:val="16"/>
              </w:rPr>
              <w:t>2,627.5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3487DD7" w14:textId="77777777" w:rsidR="00286810" w:rsidRPr="00066710" w:rsidRDefault="00286810" w:rsidP="004877F2">
            <w:pPr>
              <w:jc w:val="right"/>
              <w:rPr>
                <w:rFonts w:cstheme="minorHAnsi"/>
                <w:color w:val="000000"/>
                <w:sz w:val="16"/>
                <w:szCs w:val="16"/>
              </w:rPr>
            </w:pPr>
            <w:r w:rsidRPr="00066710">
              <w:rPr>
                <w:color w:val="000000"/>
                <w:sz w:val="16"/>
              </w:rPr>
              <w:t>3,693.0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F106823" w14:textId="77777777" w:rsidR="00286810" w:rsidRPr="00066710" w:rsidRDefault="00286810" w:rsidP="004877F2">
            <w:pPr>
              <w:jc w:val="right"/>
              <w:rPr>
                <w:rFonts w:cstheme="minorHAnsi"/>
                <w:color w:val="000000"/>
                <w:sz w:val="16"/>
                <w:szCs w:val="16"/>
              </w:rPr>
            </w:pPr>
            <w:r w:rsidRPr="00066710">
              <w:rPr>
                <w:color w:val="000000"/>
                <w:sz w:val="16"/>
              </w:rPr>
              <w:t>40.6</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77E80C" w14:textId="77777777" w:rsidR="00286810" w:rsidRPr="00066710" w:rsidRDefault="00286810" w:rsidP="004877F2">
            <w:pPr>
              <w:jc w:val="right"/>
              <w:rPr>
                <w:rFonts w:cstheme="minorHAnsi"/>
                <w:color w:val="000000"/>
                <w:sz w:val="16"/>
                <w:szCs w:val="16"/>
              </w:rPr>
            </w:pPr>
            <w:r w:rsidRPr="00066710">
              <w:rPr>
                <w:color w:val="000000"/>
                <w:sz w:val="16"/>
              </w:rPr>
              <w:t>0.3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0DEC53" w14:textId="77777777" w:rsidR="00286810" w:rsidRPr="00066710" w:rsidRDefault="00286810" w:rsidP="004877F2">
            <w:pPr>
              <w:jc w:val="right"/>
              <w:rPr>
                <w:rFonts w:cstheme="minorHAnsi"/>
                <w:color w:val="000000"/>
                <w:sz w:val="16"/>
                <w:szCs w:val="16"/>
              </w:rPr>
            </w:pPr>
            <w:r w:rsidRPr="00066710">
              <w:rPr>
                <w:color w:val="000000"/>
                <w:sz w:val="16"/>
              </w:rPr>
              <w:t>3,260.8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300F6F" w14:textId="77777777" w:rsidR="00286810" w:rsidRPr="00066710" w:rsidRDefault="00286810" w:rsidP="004877F2">
            <w:pPr>
              <w:jc w:val="right"/>
              <w:rPr>
                <w:rFonts w:cstheme="minorHAnsi"/>
                <w:color w:val="000000"/>
                <w:sz w:val="16"/>
                <w:szCs w:val="16"/>
              </w:rPr>
            </w:pPr>
            <w:r w:rsidRPr="00066710">
              <w:rPr>
                <w:color w:val="000000"/>
                <w:sz w:val="16"/>
              </w:rPr>
              <w:t>2,381.2</w:t>
            </w:r>
          </w:p>
        </w:tc>
        <w:tc>
          <w:tcPr>
            <w:tcW w:w="670" w:type="dxa"/>
            <w:tcBorders>
              <w:top w:val="nil"/>
              <w:left w:val="nil"/>
              <w:bottom w:val="single" w:sz="4" w:space="0" w:color="FFFFFF" w:themeColor="background1"/>
              <w:right w:val="nil"/>
            </w:tcBorders>
            <w:shd w:val="clear" w:color="auto" w:fill="auto"/>
            <w:noWrap/>
            <w:vAlign w:val="bottom"/>
            <w:hideMark/>
          </w:tcPr>
          <w:p w14:paraId="55CCE2A6" w14:textId="77777777" w:rsidR="00286810" w:rsidRPr="00066710" w:rsidRDefault="00286810" w:rsidP="004877F2">
            <w:pPr>
              <w:jc w:val="right"/>
              <w:rPr>
                <w:rFonts w:cstheme="minorHAnsi"/>
                <w:color w:val="000000"/>
                <w:sz w:val="16"/>
                <w:szCs w:val="16"/>
              </w:rPr>
            </w:pPr>
            <w:r w:rsidRPr="00066710">
              <w:rPr>
                <w:color w:val="000000"/>
                <w:sz w:val="16"/>
              </w:rPr>
              <w:t>-27.0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01FE587" w14:textId="77777777" w:rsidR="00286810" w:rsidRPr="00066710" w:rsidRDefault="00286810" w:rsidP="004877F2">
            <w:pPr>
              <w:jc w:val="right"/>
              <w:rPr>
                <w:rFonts w:cstheme="minorHAnsi"/>
                <w:color w:val="000000"/>
                <w:sz w:val="16"/>
                <w:szCs w:val="16"/>
              </w:rPr>
            </w:pPr>
            <w:r w:rsidRPr="00066710">
              <w:rPr>
                <w:color w:val="000000"/>
                <w:sz w:val="16"/>
              </w:rPr>
              <w:t>64.5</w:t>
            </w:r>
          </w:p>
        </w:tc>
      </w:tr>
      <w:tr w:rsidR="00286810" w:rsidRPr="00066710" w14:paraId="19A78C6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EDC6590" w14:textId="77777777" w:rsidR="00286810" w:rsidRPr="00066710" w:rsidRDefault="00286810" w:rsidP="004877F2">
            <w:pPr>
              <w:rPr>
                <w:rFonts w:cstheme="minorHAnsi"/>
                <w:color w:val="000000"/>
                <w:sz w:val="16"/>
                <w:szCs w:val="16"/>
              </w:rPr>
            </w:pPr>
            <w:r w:rsidRPr="00066710">
              <w:rPr>
                <w:color w:val="000000"/>
                <w:sz w:val="16"/>
              </w:rPr>
              <w:t>Singapore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830F75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98E9183" w14:textId="77777777" w:rsidR="00286810" w:rsidRPr="00066710" w:rsidRDefault="00286810" w:rsidP="004877F2">
            <w:pPr>
              <w:jc w:val="right"/>
              <w:rPr>
                <w:rFonts w:cstheme="minorHAnsi"/>
                <w:color w:val="000000"/>
                <w:sz w:val="16"/>
                <w:szCs w:val="16"/>
              </w:rPr>
            </w:pPr>
            <w:r w:rsidRPr="00066710">
              <w:rPr>
                <w:color w:val="000000"/>
                <w:sz w:val="16"/>
              </w:rPr>
              <w:t>45.5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D71298D" w14:textId="77777777" w:rsidR="00286810" w:rsidRPr="00066710" w:rsidRDefault="00286810" w:rsidP="004877F2">
            <w:pPr>
              <w:jc w:val="right"/>
              <w:rPr>
                <w:rFonts w:cstheme="minorHAnsi"/>
                <w:color w:val="000000"/>
                <w:sz w:val="16"/>
                <w:szCs w:val="16"/>
              </w:rPr>
            </w:pPr>
            <w:r w:rsidRPr="00066710">
              <w:rPr>
                <w:color w:val="000000"/>
                <w:sz w:val="16"/>
              </w:rPr>
              <w:t>0.8</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953F3B1" w14:textId="77777777" w:rsidR="00286810" w:rsidRPr="00066710" w:rsidRDefault="00286810" w:rsidP="004877F2">
            <w:pPr>
              <w:jc w:val="right"/>
              <w:rPr>
                <w:rFonts w:cstheme="minorHAnsi"/>
                <w:color w:val="000000"/>
                <w:sz w:val="16"/>
                <w:szCs w:val="16"/>
              </w:rPr>
            </w:pPr>
            <w:r w:rsidRPr="00066710">
              <w:rPr>
                <w:color w:val="000000"/>
                <w:sz w:val="16"/>
              </w:rPr>
              <w:t>-98.3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B8B5AE"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1E88BC" w14:textId="77777777" w:rsidR="00286810" w:rsidRPr="00066710" w:rsidRDefault="00286810" w:rsidP="004877F2">
            <w:pPr>
              <w:jc w:val="right"/>
              <w:rPr>
                <w:rFonts w:cstheme="minorHAnsi"/>
                <w:color w:val="000000"/>
                <w:sz w:val="16"/>
                <w:szCs w:val="16"/>
              </w:rPr>
            </w:pPr>
            <w:r w:rsidRPr="00066710">
              <w:rPr>
                <w:color w:val="000000"/>
                <w:sz w:val="16"/>
              </w:rPr>
              <w:t>411.3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707ACC" w14:textId="77777777" w:rsidR="00286810" w:rsidRPr="00066710" w:rsidRDefault="00286810" w:rsidP="004877F2">
            <w:pPr>
              <w:jc w:val="right"/>
              <w:rPr>
                <w:rFonts w:cstheme="minorHAnsi"/>
                <w:color w:val="000000"/>
                <w:sz w:val="16"/>
                <w:szCs w:val="16"/>
              </w:rPr>
            </w:pPr>
            <w:r w:rsidRPr="00066710">
              <w:rPr>
                <w:color w:val="000000"/>
                <w:sz w:val="16"/>
              </w:rPr>
              <w:t>2,005.8</w:t>
            </w:r>
          </w:p>
        </w:tc>
        <w:tc>
          <w:tcPr>
            <w:tcW w:w="670" w:type="dxa"/>
            <w:tcBorders>
              <w:top w:val="nil"/>
              <w:left w:val="nil"/>
              <w:bottom w:val="single" w:sz="4" w:space="0" w:color="FFFFFF" w:themeColor="background1"/>
              <w:right w:val="nil"/>
            </w:tcBorders>
            <w:shd w:val="clear" w:color="auto" w:fill="auto"/>
            <w:noWrap/>
            <w:vAlign w:val="bottom"/>
            <w:hideMark/>
          </w:tcPr>
          <w:p w14:paraId="3123D088" w14:textId="77777777" w:rsidR="00286810" w:rsidRPr="00066710" w:rsidRDefault="00286810" w:rsidP="004877F2">
            <w:pPr>
              <w:jc w:val="right"/>
              <w:rPr>
                <w:rFonts w:cstheme="minorHAnsi"/>
                <w:color w:val="000000"/>
                <w:sz w:val="16"/>
                <w:szCs w:val="16"/>
              </w:rPr>
            </w:pPr>
            <w:r w:rsidRPr="00066710">
              <w:rPr>
                <w:color w:val="000000"/>
                <w:sz w:val="16"/>
              </w:rPr>
              <w:t>387.7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03C4F4" w14:textId="77777777" w:rsidR="00286810" w:rsidRPr="00066710" w:rsidRDefault="00286810" w:rsidP="004877F2">
            <w:pPr>
              <w:jc w:val="right"/>
              <w:rPr>
                <w:rFonts w:cstheme="minorHAnsi"/>
                <w:color w:val="000000"/>
                <w:sz w:val="16"/>
                <w:szCs w:val="16"/>
              </w:rPr>
            </w:pPr>
            <w:r w:rsidRPr="00066710">
              <w:rPr>
                <w:color w:val="000000"/>
                <w:sz w:val="16"/>
              </w:rPr>
              <w:t>252,622.7</w:t>
            </w:r>
          </w:p>
        </w:tc>
      </w:tr>
      <w:tr w:rsidR="00286810" w:rsidRPr="00066710" w14:paraId="4849596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BC2E586" w14:textId="77777777" w:rsidR="00286810" w:rsidRPr="00066710" w:rsidRDefault="00286810" w:rsidP="004877F2">
            <w:pPr>
              <w:rPr>
                <w:rFonts w:cstheme="minorHAnsi"/>
                <w:color w:val="000000"/>
                <w:sz w:val="16"/>
                <w:szCs w:val="16"/>
              </w:rPr>
            </w:pPr>
            <w:r w:rsidRPr="00066710">
              <w:rPr>
                <w:color w:val="000000"/>
                <w:sz w:val="16"/>
              </w:rPr>
              <w:t>China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EEC1ACD" w14:textId="77777777" w:rsidR="00286810" w:rsidRPr="00066710" w:rsidRDefault="00286810" w:rsidP="004877F2">
            <w:pPr>
              <w:jc w:val="right"/>
              <w:rPr>
                <w:rFonts w:cstheme="minorHAnsi"/>
                <w:color w:val="000000"/>
                <w:sz w:val="16"/>
                <w:szCs w:val="16"/>
              </w:rPr>
            </w:pPr>
            <w:r w:rsidRPr="00066710">
              <w:rPr>
                <w:color w:val="000000"/>
                <w:sz w:val="16"/>
              </w:rPr>
              <w:t>29.6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2CCEB24" w14:textId="77777777" w:rsidR="00286810" w:rsidRPr="00066710" w:rsidRDefault="00286810" w:rsidP="004877F2">
            <w:pPr>
              <w:jc w:val="right"/>
              <w:rPr>
                <w:rFonts w:cstheme="minorHAnsi"/>
                <w:color w:val="000000"/>
                <w:sz w:val="16"/>
                <w:szCs w:val="16"/>
              </w:rPr>
            </w:pPr>
            <w:r w:rsidRPr="00066710">
              <w:rPr>
                <w:color w:val="000000"/>
                <w:sz w:val="16"/>
              </w:rPr>
              <w:t>380,207.5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A656E30" w14:textId="77777777" w:rsidR="00286810" w:rsidRPr="00066710" w:rsidRDefault="00286810" w:rsidP="004877F2">
            <w:pPr>
              <w:jc w:val="right"/>
              <w:rPr>
                <w:rFonts w:cstheme="minorHAnsi"/>
                <w:color w:val="000000"/>
                <w:sz w:val="16"/>
                <w:szCs w:val="16"/>
              </w:rPr>
            </w:pPr>
            <w:r w:rsidRPr="00066710">
              <w:rPr>
                <w:color w:val="000000"/>
                <w:sz w:val="16"/>
              </w:rPr>
              <w:t>435,076.2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041046D" w14:textId="77777777" w:rsidR="00286810" w:rsidRPr="00066710" w:rsidRDefault="00286810" w:rsidP="004877F2">
            <w:pPr>
              <w:jc w:val="right"/>
              <w:rPr>
                <w:rFonts w:cstheme="minorHAnsi"/>
                <w:color w:val="000000"/>
                <w:sz w:val="16"/>
                <w:szCs w:val="16"/>
              </w:rPr>
            </w:pPr>
            <w:r w:rsidRPr="00066710">
              <w:rPr>
                <w:color w:val="000000"/>
                <w:sz w:val="16"/>
              </w:rPr>
              <w:t>14.4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538D08"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565807" w14:textId="77777777" w:rsidR="00286810" w:rsidRPr="00066710" w:rsidRDefault="00286810" w:rsidP="004877F2">
            <w:pPr>
              <w:jc w:val="right"/>
              <w:rPr>
                <w:rFonts w:cstheme="minorHAnsi"/>
                <w:color w:val="000000"/>
                <w:sz w:val="16"/>
                <w:szCs w:val="16"/>
              </w:rPr>
            </w:pPr>
            <w:r w:rsidRPr="00066710">
              <w:rPr>
                <w:color w:val="000000"/>
                <w:sz w:val="16"/>
              </w:rPr>
              <w:t>2,905.6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7BF0E5" w14:textId="77777777" w:rsidR="00286810" w:rsidRPr="00066710" w:rsidRDefault="00286810" w:rsidP="004877F2">
            <w:pPr>
              <w:jc w:val="right"/>
              <w:rPr>
                <w:rFonts w:cstheme="minorHAnsi"/>
                <w:color w:val="000000"/>
                <w:sz w:val="16"/>
                <w:szCs w:val="16"/>
              </w:rPr>
            </w:pPr>
            <w:r w:rsidRPr="00066710">
              <w:rPr>
                <w:color w:val="000000"/>
                <w:sz w:val="16"/>
              </w:rPr>
              <w:t>1,687.5</w:t>
            </w:r>
          </w:p>
        </w:tc>
        <w:tc>
          <w:tcPr>
            <w:tcW w:w="670" w:type="dxa"/>
            <w:tcBorders>
              <w:top w:val="nil"/>
              <w:left w:val="nil"/>
              <w:bottom w:val="single" w:sz="4" w:space="0" w:color="FFFFFF" w:themeColor="background1"/>
              <w:right w:val="nil"/>
            </w:tcBorders>
            <w:shd w:val="clear" w:color="auto" w:fill="auto"/>
            <w:noWrap/>
            <w:vAlign w:val="bottom"/>
            <w:hideMark/>
          </w:tcPr>
          <w:p w14:paraId="09D5277C" w14:textId="77777777" w:rsidR="00286810" w:rsidRPr="00066710" w:rsidRDefault="00286810" w:rsidP="004877F2">
            <w:pPr>
              <w:jc w:val="right"/>
              <w:rPr>
                <w:rFonts w:cstheme="minorHAnsi"/>
                <w:color w:val="000000"/>
                <w:sz w:val="16"/>
                <w:szCs w:val="16"/>
              </w:rPr>
            </w:pPr>
            <w:r w:rsidRPr="00066710">
              <w:rPr>
                <w:color w:val="000000"/>
                <w:sz w:val="16"/>
              </w:rPr>
              <w:t>-41.9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1586C8E" w14:textId="77777777" w:rsidR="00286810" w:rsidRPr="00066710" w:rsidRDefault="00286810" w:rsidP="004877F2">
            <w:pPr>
              <w:jc w:val="right"/>
              <w:rPr>
                <w:rFonts w:cstheme="minorHAnsi"/>
                <w:color w:val="000000"/>
                <w:sz w:val="16"/>
                <w:szCs w:val="16"/>
              </w:rPr>
            </w:pPr>
            <w:r w:rsidRPr="00066710">
              <w:rPr>
                <w:color w:val="000000"/>
                <w:sz w:val="16"/>
              </w:rPr>
              <w:t>0.4</w:t>
            </w:r>
          </w:p>
        </w:tc>
      </w:tr>
      <w:tr w:rsidR="00286810" w:rsidRPr="00066710" w14:paraId="164FB42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0F6B741" w14:textId="77777777" w:rsidR="00286810" w:rsidRPr="00066710" w:rsidRDefault="00286810" w:rsidP="004877F2">
            <w:pPr>
              <w:rPr>
                <w:rFonts w:cstheme="minorHAnsi"/>
                <w:color w:val="000000"/>
                <w:sz w:val="16"/>
                <w:szCs w:val="16"/>
              </w:rPr>
            </w:pPr>
            <w:r w:rsidRPr="00066710">
              <w:rPr>
                <w:color w:val="000000"/>
                <w:sz w:val="16"/>
              </w:rPr>
              <w:t>D.R. Congo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3E10A5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B574BC7" w14:textId="77777777" w:rsidR="00286810" w:rsidRPr="00066710" w:rsidRDefault="00286810" w:rsidP="004877F2">
            <w:pPr>
              <w:jc w:val="right"/>
              <w:rPr>
                <w:rFonts w:cstheme="minorHAnsi"/>
                <w:color w:val="000000"/>
                <w:sz w:val="16"/>
                <w:szCs w:val="16"/>
              </w:rPr>
            </w:pPr>
            <w:r w:rsidRPr="00066710">
              <w:rPr>
                <w:color w:val="000000"/>
                <w:sz w:val="16"/>
              </w:rPr>
              <w:t>0.5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0301C2" w14:textId="77777777" w:rsidR="00286810" w:rsidRPr="00066710" w:rsidRDefault="00286810" w:rsidP="004877F2">
            <w:pPr>
              <w:jc w:val="right"/>
              <w:rPr>
                <w:rFonts w:cstheme="minorHAnsi"/>
                <w:color w:val="000000"/>
                <w:sz w:val="16"/>
                <w:szCs w:val="16"/>
              </w:rPr>
            </w:pPr>
            <w:r w:rsidRPr="00066710">
              <w:rPr>
                <w:color w:val="000000"/>
                <w:sz w:val="16"/>
              </w:rPr>
              <w:t>0.9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167620C" w14:textId="77777777" w:rsidR="00286810" w:rsidRPr="00066710" w:rsidRDefault="00286810" w:rsidP="004877F2">
            <w:pPr>
              <w:jc w:val="right"/>
              <w:rPr>
                <w:rFonts w:cstheme="minorHAnsi"/>
                <w:color w:val="000000"/>
                <w:sz w:val="16"/>
                <w:szCs w:val="16"/>
              </w:rPr>
            </w:pPr>
            <w:r w:rsidRPr="00066710">
              <w:rPr>
                <w:color w:val="000000"/>
                <w:sz w:val="16"/>
              </w:rPr>
              <w:t>84.5</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290F6C"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416A64" w14:textId="77777777" w:rsidR="00286810" w:rsidRPr="00066710" w:rsidRDefault="00286810" w:rsidP="004877F2">
            <w:pPr>
              <w:jc w:val="right"/>
              <w:rPr>
                <w:rFonts w:cstheme="minorHAnsi"/>
                <w:color w:val="000000"/>
                <w:sz w:val="16"/>
                <w:szCs w:val="16"/>
              </w:rPr>
            </w:pPr>
            <w:r w:rsidRPr="00066710">
              <w:rPr>
                <w:color w:val="000000"/>
                <w:sz w:val="16"/>
              </w:rPr>
              <w:t>900.1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9B5518" w14:textId="77777777" w:rsidR="00286810" w:rsidRPr="00066710" w:rsidRDefault="00286810" w:rsidP="004877F2">
            <w:pPr>
              <w:jc w:val="right"/>
              <w:rPr>
                <w:rFonts w:cstheme="minorHAnsi"/>
                <w:color w:val="000000"/>
                <w:sz w:val="16"/>
                <w:szCs w:val="16"/>
              </w:rPr>
            </w:pPr>
            <w:r w:rsidRPr="00066710">
              <w:rPr>
                <w:color w:val="000000"/>
                <w:sz w:val="16"/>
              </w:rPr>
              <w:t>1,410.6</w:t>
            </w:r>
          </w:p>
        </w:tc>
        <w:tc>
          <w:tcPr>
            <w:tcW w:w="670" w:type="dxa"/>
            <w:tcBorders>
              <w:top w:val="nil"/>
              <w:left w:val="nil"/>
              <w:bottom w:val="single" w:sz="4" w:space="0" w:color="FFFFFF" w:themeColor="background1"/>
              <w:right w:val="nil"/>
            </w:tcBorders>
            <w:shd w:val="clear" w:color="auto" w:fill="auto"/>
            <w:noWrap/>
            <w:vAlign w:val="bottom"/>
            <w:hideMark/>
          </w:tcPr>
          <w:p w14:paraId="5A1C6098" w14:textId="77777777" w:rsidR="00286810" w:rsidRPr="00066710" w:rsidRDefault="00286810" w:rsidP="004877F2">
            <w:pPr>
              <w:jc w:val="right"/>
              <w:rPr>
                <w:rFonts w:cstheme="minorHAnsi"/>
                <w:color w:val="000000"/>
                <w:sz w:val="16"/>
                <w:szCs w:val="16"/>
              </w:rPr>
            </w:pPr>
            <w:r w:rsidRPr="00066710">
              <w:rPr>
                <w:color w:val="000000"/>
                <w:sz w:val="16"/>
              </w:rPr>
              <w:t>56.7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B2901F" w14:textId="77777777" w:rsidR="00286810" w:rsidRPr="00066710" w:rsidRDefault="00286810" w:rsidP="004877F2">
            <w:pPr>
              <w:jc w:val="right"/>
              <w:rPr>
                <w:rFonts w:cstheme="minorHAnsi"/>
                <w:color w:val="000000"/>
                <w:sz w:val="16"/>
                <w:szCs w:val="16"/>
              </w:rPr>
            </w:pPr>
            <w:r w:rsidRPr="00066710">
              <w:rPr>
                <w:color w:val="000000"/>
                <w:sz w:val="16"/>
              </w:rPr>
              <w:t>164,791.7</w:t>
            </w:r>
          </w:p>
        </w:tc>
      </w:tr>
      <w:tr w:rsidR="00286810" w:rsidRPr="00066710" w14:paraId="5165B64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ABE18AE" w14:textId="77777777" w:rsidR="00286810" w:rsidRPr="00066710" w:rsidRDefault="00286810" w:rsidP="004877F2">
            <w:pPr>
              <w:rPr>
                <w:rFonts w:cstheme="minorHAnsi"/>
                <w:color w:val="000000"/>
                <w:sz w:val="16"/>
                <w:szCs w:val="16"/>
              </w:rPr>
            </w:pPr>
            <w:r w:rsidRPr="00066710">
              <w:rPr>
                <w:color w:val="000000"/>
                <w:sz w:val="16"/>
              </w:rPr>
              <w:t>UAE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9C571A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6A5CE1C" w14:textId="77777777" w:rsidR="00286810" w:rsidRPr="00066710" w:rsidRDefault="00286810" w:rsidP="004877F2">
            <w:pPr>
              <w:jc w:val="right"/>
              <w:rPr>
                <w:rFonts w:cstheme="minorHAnsi"/>
                <w:color w:val="000000"/>
                <w:sz w:val="16"/>
                <w:szCs w:val="16"/>
              </w:rPr>
            </w:pPr>
            <w:r w:rsidRPr="00066710">
              <w:rPr>
                <w:color w:val="000000"/>
                <w:sz w:val="16"/>
              </w:rPr>
              <w:t>75.5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1E0FC17" w14:textId="77777777" w:rsidR="00286810" w:rsidRPr="00066710" w:rsidRDefault="00286810" w:rsidP="004877F2">
            <w:pPr>
              <w:jc w:val="right"/>
              <w:rPr>
                <w:rFonts w:cstheme="minorHAnsi"/>
                <w:color w:val="000000"/>
                <w:sz w:val="16"/>
                <w:szCs w:val="16"/>
              </w:rPr>
            </w:pPr>
            <w:r w:rsidRPr="00066710">
              <w:rPr>
                <w:color w:val="000000"/>
                <w:sz w:val="16"/>
              </w:rPr>
              <w:t>20.9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F33B1C2" w14:textId="77777777" w:rsidR="00286810" w:rsidRPr="00066710" w:rsidRDefault="00286810" w:rsidP="004877F2">
            <w:pPr>
              <w:jc w:val="right"/>
              <w:rPr>
                <w:rFonts w:cstheme="minorHAnsi"/>
                <w:color w:val="000000"/>
                <w:sz w:val="16"/>
                <w:szCs w:val="16"/>
              </w:rPr>
            </w:pPr>
            <w:r w:rsidRPr="00066710">
              <w:rPr>
                <w:color w:val="000000"/>
                <w:sz w:val="16"/>
              </w:rPr>
              <w:t>-72.3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372A2E"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5A1B39" w14:textId="77777777" w:rsidR="00286810" w:rsidRPr="00066710" w:rsidRDefault="00286810" w:rsidP="004877F2">
            <w:pPr>
              <w:jc w:val="right"/>
              <w:rPr>
                <w:rFonts w:cstheme="minorHAnsi"/>
                <w:color w:val="000000"/>
                <w:sz w:val="16"/>
                <w:szCs w:val="16"/>
              </w:rPr>
            </w:pPr>
            <w:r w:rsidRPr="00066710">
              <w:rPr>
                <w:color w:val="000000"/>
                <w:sz w:val="16"/>
              </w:rPr>
              <w:t>1,395.3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D344EE" w14:textId="77777777" w:rsidR="00286810" w:rsidRPr="00066710" w:rsidRDefault="00286810" w:rsidP="004877F2">
            <w:pPr>
              <w:jc w:val="right"/>
              <w:rPr>
                <w:rFonts w:cstheme="minorHAnsi"/>
                <w:color w:val="000000"/>
                <w:sz w:val="16"/>
                <w:szCs w:val="16"/>
              </w:rPr>
            </w:pPr>
            <w:r w:rsidRPr="00066710">
              <w:rPr>
                <w:color w:val="000000"/>
                <w:sz w:val="16"/>
              </w:rPr>
              <w:t>1,374.4</w:t>
            </w:r>
          </w:p>
        </w:tc>
        <w:tc>
          <w:tcPr>
            <w:tcW w:w="670" w:type="dxa"/>
            <w:tcBorders>
              <w:top w:val="nil"/>
              <w:left w:val="nil"/>
              <w:bottom w:val="single" w:sz="4" w:space="0" w:color="FFFFFF" w:themeColor="background1"/>
              <w:right w:val="nil"/>
            </w:tcBorders>
            <w:shd w:val="clear" w:color="auto" w:fill="auto"/>
            <w:noWrap/>
            <w:vAlign w:val="bottom"/>
            <w:hideMark/>
          </w:tcPr>
          <w:p w14:paraId="4B08359A" w14:textId="77777777" w:rsidR="00286810" w:rsidRPr="00066710" w:rsidRDefault="00286810" w:rsidP="004877F2">
            <w:pPr>
              <w:jc w:val="right"/>
              <w:rPr>
                <w:rFonts w:cstheme="minorHAnsi"/>
                <w:color w:val="000000"/>
                <w:sz w:val="16"/>
                <w:szCs w:val="16"/>
              </w:rPr>
            </w:pPr>
            <w:r w:rsidRPr="00066710">
              <w:rPr>
                <w:color w:val="000000"/>
                <w:sz w:val="16"/>
              </w:rPr>
              <w:t>-1.5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4FD384E" w14:textId="77777777" w:rsidR="00286810" w:rsidRPr="00066710" w:rsidRDefault="00286810" w:rsidP="004877F2">
            <w:pPr>
              <w:jc w:val="right"/>
              <w:rPr>
                <w:rFonts w:cstheme="minorHAnsi"/>
                <w:color w:val="000000"/>
                <w:sz w:val="16"/>
                <w:szCs w:val="16"/>
              </w:rPr>
            </w:pPr>
            <w:r w:rsidRPr="00066710">
              <w:rPr>
                <w:color w:val="000000"/>
                <w:sz w:val="16"/>
              </w:rPr>
              <w:t>6,565.9</w:t>
            </w:r>
          </w:p>
        </w:tc>
      </w:tr>
      <w:tr w:rsidR="00286810" w:rsidRPr="00066710" w14:paraId="42D6401F"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60E35CE" w14:textId="77777777" w:rsidR="00286810" w:rsidRPr="00066710" w:rsidRDefault="00286810" w:rsidP="004877F2">
            <w:pPr>
              <w:rPr>
                <w:rFonts w:cstheme="minorHAnsi"/>
                <w:color w:val="000000"/>
                <w:sz w:val="16"/>
                <w:szCs w:val="16"/>
              </w:rPr>
            </w:pPr>
            <w:r w:rsidRPr="00066710">
              <w:rPr>
                <w:color w:val="000000"/>
                <w:sz w:val="16"/>
              </w:rPr>
              <w:t>Morocco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32F74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04537AA" w14:textId="77777777" w:rsidR="00286810" w:rsidRPr="00066710" w:rsidRDefault="00286810" w:rsidP="004877F2">
            <w:pPr>
              <w:jc w:val="right"/>
              <w:rPr>
                <w:rFonts w:cstheme="minorHAnsi"/>
                <w:color w:val="000000"/>
                <w:sz w:val="16"/>
                <w:szCs w:val="16"/>
              </w:rPr>
            </w:pPr>
            <w:r w:rsidRPr="00066710">
              <w:rPr>
                <w:color w:val="000000"/>
                <w:sz w:val="16"/>
              </w:rPr>
              <w:t>399.6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A751234" w14:textId="77777777" w:rsidR="00286810" w:rsidRPr="00066710" w:rsidRDefault="00286810" w:rsidP="004877F2">
            <w:pPr>
              <w:jc w:val="right"/>
              <w:rPr>
                <w:rFonts w:cstheme="minorHAnsi"/>
                <w:color w:val="000000"/>
                <w:sz w:val="16"/>
                <w:szCs w:val="16"/>
              </w:rPr>
            </w:pPr>
            <w:r w:rsidRPr="00066710">
              <w:rPr>
                <w:color w:val="000000"/>
                <w:sz w:val="16"/>
              </w:rPr>
              <w:t>366.2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8483D7D" w14:textId="77777777" w:rsidR="00286810" w:rsidRPr="00066710" w:rsidRDefault="00286810" w:rsidP="004877F2">
            <w:pPr>
              <w:jc w:val="right"/>
              <w:rPr>
                <w:rFonts w:cstheme="minorHAnsi"/>
                <w:color w:val="000000"/>
                <w:sz w:val="16"/>
                <w:szCs w:val="16"/>
              </w:rPr>
            </w:pPr>
            <w:r w:rsidRPr="00066710">
              <w:rPr>
                <w:color w:val="000000"/>
                <w:sz w:val="16"/>
              </w:rPr>
              <w:t>-8.4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6BE285"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DDB066" w14:textId="77777777" w:rsidR="00286810" w:rsidRPr="00066710" w:rsidRDefault="00286810" w:rsidP="004877F2">
            <w:pPr>
              <w:jc w:val="right"/>
              <w:rPr>
                <w:rFonts w:cstheme="minorHAnsi"/>
                <w:color w:val="000000"/>
                <w:sz w:val="16"/>
                <w:szCs w:val="16"/>
              </w:rPr>
            </w:pPr>
            <w:r w:rsidRPr="00066710">
              <w:rPr>
                <w:color w:val="000000"/>
                <w:sz w:val="16"/>
              </w:rPr>
              <w:t>832.4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C54014" w14:textId="77777777" w:rsidR="00286810" w:rsidRPr="00066710" w:rsidRDefault="00286810" w:rsidP="004877F2">
            <w:pPr>
              <w:jc w:val="right"/>
              <w:rPr>
                <w:rFonts w:cstheme="minorHAnsi"/>
                <w:color w:val="000000"/>
                <w:sz w:val="16"/>
                <w:szCs w:val="16"/>
              </w:rPr>
            </w:pPr>
            <w:r w:rsidRPr="00066710">
              <w:rPr>
                <w:color w:val="000000"/>
                <w:sz w:val="16"/>
              </w:rPr>
              <w:t>1,299.1</w:t>
            </w:r>
          </w:p>
        </w:tc>
        <w:tc>
          <w:tcPr>
            <w:tcW w:w="670" w:type="dxa"/>
            <w:tcBorders>
              <w:top w:val="nil"/>
              <w:left w:val="nil"/>
              <w:bottom w:val="single" w:sz="4" w:space="0" w:color="FFFFFF" w:themeColor="background1"/>
              <w:right w:val="nil"/>
            </w:tcBorders>
            <w:shd w:val="clear" w:color="auto" w:fill="auto"/>
            <w:noWrap/>
            <w:vAlign w:val="bottom"/>
            <w:hideMark/>
          </w:tcPr>
          <w:p w14:paraId="1C37FF08" w14:textId="77777777" w:rsidR="00286810" w:rsidRPr="00066710" w:rsidRDefault="00286810" w:rsidP="004877F2">
            <w:pPr>
              <w:jc w:val="right"/>
              <w:rPr>
                <w:rFonts w:cstheme="minorHAnsi"/>
                <w:color w:val="000000"/>
                <w:sz w:val="16"/>
                <w:szCs w:val="16"/>
              </w:rPr>
            </w:pPr>
            <w:r w:rsidRPr="00066710">
              <w:rPr>
                <w:color w:val="000000"/>
                <w:sz w:val="16"/>
              </w:rPr>
              <w:t>56.1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B3F9F7D" w14:textId="77777777" w:rsidR="00286810" w:rsidRPr="00066710" w:rsidRDefault="00286810" w:rsidP="004877F2">
            <w:pPr>
              <w:jc w:val="right"/>
              <w:rPr>
                <w:rFonts w:cstheme="minorHAnsi"/>
                <w:color w:val="000000"/>
                <w:sz w:val="16"/>
                <w:szCs w:val="16"/>
              </w:rPr>
            </w:pPr>
            <w:r w:rsidRPr="00066710">
              <w:rPr>
                <w:color w:val="000000"/>
                <w:sz w:val="16"/>
              </w:rPr>
              <w:t>354.8</w:t>
            </w:r>
          </w:p>
        </w:tc>
      </w:tr>
      <w:tr w:rsidR="00286810" w:rsidRPr="00066710" w14:paraId="3DB3502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066CA91" w14:textId="77777777" w:rsidR="00286810" w:rsidRPr="00066710" w:rsidRDefault="00286810" w:rsidP="004877F2">
            <w:pPr>
              <w:rPr>
                <w:rFonts w:cstheme="minorHAnsi"/>
                <w:color w:val="000000"/>
                <w:sz w:val="16"/>
                <w:szCs w:val="16"/>
              </w:rPr>
            </w:pPr>
            <w:r w:rsidRPr="00066710">
              <w:rPr>
                <w:color w:val="000000"/>
                <w:sz w:val="16"/>
              </w:rPr>
              <w:t>Japan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275E654"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0121390" w14:textId="77777777" w:rsidR="00286810" w:rsidRPr="00066710" w:rsidRDefault="00286810" w:rsidP="004877F2">
            <w:pPr>
              <w:jc w:val="right"/>
              <w:rPr>
                <w:rFonts w:cstheme="minorHAnsi"/>
                <w:color w:val="000000"/>
                <w:sz w:val="16"/>
                <w:szCs w:val="16"/>
              </w:rPr>
            </w:pPr>
            <w:r w:rsidRPr="00066710">
              <w:rPr>
                <w:color w:val="000000"/>
                <w:sz w:val="16"/>
              </w:rPr>
              <w:t>2,411.4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0853648" w14:textId="77777777" w:rsidR="00286810" w:rsidRPr="00066710" w:rsidRDefault="00286810" w:rsidP="004877F2">
            <w:pPr>
              <w:jc w:val="right"/>
              <w:rPr>
                <w:rFonts w:cstheme="minorHAnsi"/>
                <w:color w:val="000000"/>
                <w:sz w:val="16"/>
                <w:szCs w:val="16"/>
              </w:rPr>
            </w:pPr>
            <w:r w:rsidRPr="00066710">
              <w:rPr>
                <w:color w:val="000000"/>
                <w:sz w:val="16"/>
              </w:rPr>
              <w:t>918.7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180401F" w14:textId="77777777" w:rsidR="00286810" w:rsidRPr="00066710" w:rsidRDefault="00286810" w:rsidP="004877F2">
            <w:pPr>
              <w:jc w:val="right"/>
              <w:rPr>
                <w:rFonts w:cstheme="minorHAnsi"/>
                <w:color w:val="000000"/>
                <w:sz w:val="16"/>
                <w:szCs w:val="16"/>
              </w:rPr>
            </w:pPr>
            <w:r w:rsidRPr="00066710">
              <w:rPr>
                <w:color w:val="000000"/>
                <w:sz w:val="16"/>
              </w:rPr>
              <w:t>-61.9</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28C88B"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A249D2" w14:textId="77777777" w:rsidR="00286810" w:rsidRPr="00066710" w:rsidRDefault="00286810" w:rsidP="004877F2">
            <w:pPr>
              <w:jc w:val="right"/>
              <w:rPr>
                <w:rFonts w:cstheme="minorHAnsi"/>
                <w:color w:val="000000"/>
                <w:sz w:val="16"/>
                <w:szCs w:val="16"/>
              </w:rPr>
            </w:pPr>
            <w:r w:rsidRPr="00066710">
              <w:rPr>
                <w:color w:val="000000"/>
                <w:sz w:val="16"/>
              </w:rPr>
              <w:t>914.7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F6E883" w14:textId="77777777" w:rsidR="00286810" w:rsidRPr="00066710" w:rsidRDefault="00286810" w:rsidP="004877F2">
            <w:pPr>
              <w:jc w:val="right"/>
              <w:rPr>
                <w:rFonts w:cstheme="minorHAnsi"/>
                <w:color w:val="000000"/>
                <w:sz w:val="16"/>
                <w:szCs w:val="16"/>
              </w:rPr>
            </w:pPr>
            <w:r w:rsidRPr="00066710">
              <w:rPr>
                <w:color w:val="000000"/>
                <w:sz w:val="16"/>
              </w:rPr>
              <w:t>1,124.9</w:t>
            </w:r>
          </w:p>
        </w:tc>
        <w:tc>
          <w:tcPr>
            <w:tcW w:w="670" w:type="dxa"/>
            <w:tcBorders>
              <w:top w:val="nil"/>
              <w:left w:val="nil"/>
              <w:bottom w:val="single" w:sz="4" w:space="0" w:color="FFFFFF" w:themeColor="background1"/>
              <w:right w:val="nil"/>
            </w:tcBorders>
            <w:shd w:val="clear" w:color="auto" w:fill="auto"/>
            <w:noWrap/>
            <w:vAlign w:val="bottom"/>
            <w:hideMark/>
          </w:tcPr>
          <w:p w14:paraId="4642C0BB" w14:textId="77777777" w:rsidR="00286810" w:rsidRPr="00066710" w:rsidRDefault="00286810" w:rsidP="004877F2">
            <w:pPr>
              <w:jc w:val="right"/>
              <w:rPr>
                <w:rFonts w:cstheme="minorHAnsi"/>
                <w:color w:val="000000"/>
                <w:sz w:val="16"/>
                <w:szCs w:val="16"/>
              </w:rPr>
            </w:pPr>
            <w:r w:rsidRPr="00066710">
              <w:rPr>
                <w:color w:val="000000"/>
                <w:sz w:val="16"/>
              </w:rPr>
              <w:t>23.0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9E8A94B" w14:textId="77777777" w:rsidR="00286810" w:rsidRPr="00066710" w:rsidRDefault="00286810" w:rsidP="004877F2">
            <w:pPr>
              <w:jc w:val="right"/>
              <w:rPr>
                <w:rFonts w:cstheme="minorHAnsi"/>
                <w:color w:val="000000"/>
                <w:sz w:val="16"/>
                <w:szCs w:val="16"/>
              </w:rPr>
            </w:pPr>
            <w:r w:rsidRPr="00066710">
              <w:rPr>
                <w:color w:val="000000"/>
                <w:sz w:val="16"/>
              </w:rPr>
              <w:t>122.4</w:t>
            </w:r>
          </w:p>
        </w:tc>
      </w:tr>
      <w:tr w:rsidR="00286810" w:rsidRPr="00066710" w14:paraId="039E37FC"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317B573" w14:textId="77777777" w:rsidR="00286810" w:rsidRPr="00066710" w:rsidRDefault="00286810" w:rsidP="004877F2">
            <w:pPr>
              <w:rPr>
                <w:rFonts w:cstheme="minorHAnsi"/>
                <w:color w:val="000000"/>
                <w:sz w:val="16"/>
                <w:szCs w:val="16"/>
              </w:rPr>
            </w:pPr>
            <w:r w:rsidRPr="00066710">
              <w:rPr>
                <w:color w:val="000000"/>
                <w:sz w:val="16"/>
              </w:rPr>
              <w:t>Cameroon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F98D43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5124136" w14:textId="77777777" w:rsidR="00286810" w:rsidRPr="00066710" w:rsidRDefault="00286810" w:rsidP="004877F2">
            <w:pPr>
              <w:jc w:val="right"/>
              <w:rPr>
                <w:rFonts w:cstheme="minorHAnsi"/>
                <w:color w:val="000000"/>
                <w:sz w:val="16"/>
                <w:szCs w:val="16"/>
              </w:rPr>
            </w:pPr>
            <w:r w:rsidRPr="00066710">
              <w:rPr>
                <w:color w:val="000000"/>
                <w:sz w:val="16"/>
              </w:rPr>
              <w:t>11.1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85C786E" w14:textId="77777777" w:rsidR="00286810" w:rsidRPr="00066710" w:rsidRDefault="00286810" w:rsidP="004877F2">
            <w:pPr>
              <w:jc w:val="right"/>
              <w:rPr>
                <w:rFonts w:cstheme="minorHAnsi"/>
                <w:color w:val="000000"/>
                <w:sz w:val="16"/>
                <w:szCs w:val="16"/>
              </w:rPr>
            </w:pPr>
            <w:r w:rsidRPr="00066710">
              <w:rPr>
                <w:color w:val="000000"/>
                <w:sz w:val="16"/>
              </w:rPr>
              <w:t>31.5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E84D632" w14:textId="77777777" w:rsidR="00286810" w:rsidRPr="00066710" w:rsidRDefault="00286810" w:rsidP="004877F2">
            <w:pPr>
              <w:jc w:val="right"/>
              <w:rPr>
                <w:rFonts w:cstheme="minorHAnsi"/>
                <w:color w:val="000000"/>
                <w:sz w:val="16"/>
                <w:szCs w:val="16"/>
              </w:rPr>
            </w:pPr>
            <w:r w:rsidRPr="00066710">
              <w:rPr>
                <w:color w:val="000000"/>
                <w:sz w:val="16"/>
              </w:rPr>
              <w:t>183.1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1A2BE2"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12505A" w14:textId="77777777" w:rsidR="00286810" w:rsidRPr="00066710" w:rsidRDefault="00286810" w:rsidP="004877F2">
            <w:pPr>
              <w:jc w:val="right"/>
              <w:rPr>
                <w:rFonts w:cstheme="minorHAnsi"/>
                <w:color w:val="000000"/>
                <w:sz w:val="16"/>
                <w:szCs w:val="16"/>
              </w:rPr>
            </w:pPr>
            <w:r w:rsidRPr="00066710">
              <w:rPr>
                <w:color w:val="000000"/>
                <w:sz w:val="16"/>
              </w:rPr>
              <w:t>875.0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A1389B" w14:textId="77777777" w:rsidR="00286810" w:rsidRPr="00066710" w:rsidRDefault="00286810" w:rsidP="004877F2">
            <w:pPr>
              <w:jc w:val="right"/>
              <w:rPr>
                <w:rFonts w:cstheme="minorHAnsi"/>
                <w:color w:val="000000"/>
                <w:sz w:val="16"/>
                <w:szCs w:val="16"/>
              </w:rPr>
            </w:pPr>
            <w:r w:rsidRPr="00066710">
              <w:rPr>
                <w:color w:val="000000"/>
                <w:sz w:val="16"/>
              </w:rPr>
              <w:t>1,071.7</w:t>
            </w:r>
          </w:p>
        </w:tc>
        <w:tc>
          <w:tcPr>
            <w:tcW w:w="670" w:type="dxa"/>
            <w:tcBorders>
              <w:top w:val="nil"/>
              <w:left w:val="nil"/>
              <w:bottom w:val="single" w:sz="4" w:space="0" w:color="FFFFFF" w:themeColor="background1"/>
              <w:right w:val="nil"/>
            </w:tcBorders>
            <w:shd w:val="clear" w:color="auto" w:fill="auto"/>
            <w:noWrap/>
            <w:vAlign w:val="bottom"/>
            <w:hideMark/>
          </w:tcPr>
          <w:p w14:paraId="050556B9" w14:textId="77777777" w:rsidR="00286810" w:rsidRPr="00066710" w:rsidRDefault="00286810" w:rsidP="004877F2">
            <w:pPr>
              <w:jc w:val="right"/>
              <w:rPr>
                <w:rFonts w:cstheme="minorHAnsi"/>
                <w:color w:val="000000"/>
                <w:sz w:val="16"/>
                <w:szCs w:val="16"/>
              </w:rPr>
            </w:pPr>
            <w:r w:rsidRPr="00066710">
              <w:rPr>
                <w:color w:val="000000"/>
                <w:sz w:val="16"/>
              </w:rPr>
              <w:t>22.5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8DCA477" w14:textId="77777777" w:rsidR="00286810" w:rsidRPr="00066710" w:rsidRDefault="00286810" w:rsidP="004877F2">
            <w:pPr>
              <w:jc w:val="right"/>
              <w:rPr>
                <w:rFonts w:cstheme="minorHAnsi"/>
                <w:color w:val="000000"/>
                <w:sz w:val="16"/>
                <w:szCs w:val="16"/>
              </w:rPr>
            </w:pPr>
            <w:r w:rsidRPr="00066710">
              <w:rPr>
                <w:color w:val="000000"/>
                <w:sz w:val="16"/>
              </w:rPr>
              <w:t>3,398.3</w:t>
            </w:r>
          </w:p>
        </w:tc>
      </w:tr>
      <w:tr w:rsidR="00286810" w:rsidRPr="00066710" w14:paraId="0202304C"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7D66E59" w14:textId="77777777" w:rsidR="00286810" w:rsidRPr="00066710" w:rsidRDefault="00286810" w:rsidP="004877F2">
            <w:pPr>
              <w:rPr>
                <w:rFonts w:cstheme="minorHAnsi"/>
                <w:color w:val="000000"/>
                <w:sz w:val="16"/>
                <w:szCs w:val="16"/>
              </w:rPr>
            </w:pPr>
            <w:r w:rsidRPr="00066710">
              <w:rPr>
                <w:color w:val="000000"/>
                <w:sz w:val="16"/>
              </w:rPr>
              <w:t>South Korea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854483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4623CF1" w14:textId="77777777" w:rsidR="00286810" w:rsidRPr="00066710" w:rsidRDefault="00286810" w:rsidP="004877F2">
            <w:pPr>
              <w:jc w:val="right"/>
              <w:rPr>
                <w:rFonts w:cstheme="minorHAnsi"/>
                <w:color w:val="000000"/>
                <w:sz w:val="16"/>
                <w:szCs w:val="16"/>
              </w:rPr>
            </w:pPr>
            <w:r w:rsidRPr="00066710">
              <w:rPr>
                <w:color w:val="000000"/>
                <w:sz w:val="16"/>
              </w:rPr>
              <w:t>187.3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7C8CBC9" w14:textId="77777777" w:rsidR="00286810" w:rsidRPr="00066710" w:rsidRDefault="00286810" w:rsidP="004877F2">
            <w:pPr>
              <w:jc w:val="right"/>
              <w:rPr>
                <w:rFonts w:cstheme="minorHAnsi"/>
                <w:color w:val="000000"/>
                <w:sz w:val="16"/>
                <w:szCs w:val="16"/>
              </w:rPr>
            </w:pPr>
            <w:r w:rsidRPr="00066710">
              <w:rPr>
                <w:color w:val="000000"/>
                <w:sz w:val="16"/>
              </w:rPr>
              <w:t>102.4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D3E9684" w14:textId="77777777" w:rsidR="00286810" w:rsidRPr="00066710" w:rsidRDefault="00286810" w:rsidP="004877F2">
            <w:pPr>
              <w:jc w:val="right"/>
              <w:rPr>
                <w:rFonts w:cstheme="minorHAnsi"/>
                <w:color w:val="000000"/>
                <w:sz w:val="16"/>
                <w:szCs w:val="16"/>
              </w:rPr>
            </w:pPr>
            <w:r w:rsidRPr="00066710">
              <w:rPr>
                <w:color w:val="000000"/>
                <w:sz w:val="16"/>
              </w:rPr>
              <w:t>-45.3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211E25"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8E4344" w14:textId="77777777" w:rsidR="00286810" w:rsidRPr="00066710" w:rsidRDefault="00286810" w:rsidP="004877F2">
            <w:pPr>
              <w:jc w:val="right"/>
              <w:rPr>
                <w:rFonts w:cstheme="minorHAnsi"/>
                <w:color w:val="000000"/>
                <w:sz w:val="16"/>
                <w:szCs w:val="16"/>
              </w:rPr>
            </w:pPr>
            <w:r w:rsidRPr="00066710">
              <w:rPr>
                <w:color w:val="000000"/>
                <w:sz w:val="16"/>
              </w:rPr>
              <w:t>1,226.2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B748AB" w14:textId="77777777" w:rsidR="00286810" w:rsidRPr="00066710" w:rsidRDefault="00286810" w:rsidP="004877F2">
            <w:pPr>
              <w:jc w:val="right"/>
              <w:rPr>
                <w:rFonts w:cstheme="minorHAnsi"/>
                <w:color w:val="000000"/>
                <w:sz w:val="16"/>
                <w:szCs w:val="16"/>
              </w:rPr>
            </w:pPr>
            <w:r w:rsidRPr="00066710">
              <w:rPr>
                <w:color w:val="000000"/>
                <w:sz w:val="16"/>
              </w:rPr>
              <w:t>943.0</w:t>
            </w:r>
          </w:p>
        </w:tc>
        <w:tc>
          <w:tcPr>
            <w:tcW w:w="670" w:type="dxa"/>
            <w:tcBorders>
              <w:top w:val="nil"/>
              <w:left w:val="nil"/>
              <w:bottom w:val="single" w:sz="4" w:space="0" w:color="FFFFFF" w:themeColor="background1"/>
              <w:right w:val="nil"/>
            </w:tcBorders>
            <w:shd w:val="clear" w:color="auto" w:fill="auto"/>
            <w:noWrap/>
            <w:vAlign w:val="bottom"/>
            <w:hideMark/>
          </w:tcPr>
          <w:p w14:paraId="606B8E1B" w14:textId="77777777" w:rsidR="00286810" w:rsidRPr="00066710" w:rsidRDefault="00286810" w:rsidP="004877F2">
            <w:pPr>
              <w:jc w:val="right"/>
              <w:rPr>
                <w:rFonts w:cstheme="minorHAnsi"/>
                <w:color w:val="000000"/>
                <w:sz w:val="16"/>
                <w:szCs w:val="16"/>
              </w:rPr>
            </w:pPr>
            <w:r w:rsidRPr="00066710">
              <w:rPr>
                <w:color w:val="000000"/>
                <w:sz w:val="16"/>
              </w:rPr>
              <w:t>-23.1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9378551" w14:textId="77777777" w:rsidR="00286810" w:rsidRPr="00066710" w:rsidRDefault="00286810" w:rsidP="004877F2">
            <w:pPr>
              <w:jc w:val="right"/>
              <w:rPr>
                <w:rFonts w:cstheme="minorHAnsi"/>
                <w:color w:val="000000"/>
                <w:sz w:val="16"/>
                <w:szCs w:val="16"/>
              </w:rPr>
            </w:pPr>
            <w:r w:rsidRPr="00066710">
              <w:rPr>
                <w:color w:val="000000"/>
                <w:sz w:val="16"/>
              </w:rPr>
              <w:t>920.6</w:t>
            </w:r>
          </w:p>
        </w:tc>
      </w:tr>
      <w:tr w:rsidR="00286810" w:rsidRPr="00066710" w14:paraId="7137743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9038C1B" w14:textId="77777777" w:rsidR="00286810" w:rsidRPr="00066710" w:rsidRDefault="00286810" w:rsidP="004877F2">
            <w:pPr>
              <w:rPr>
                <w:rFonts w:cstheme="minorHAnsi"/>
                <w:color w:val="000000"/>
                <w:sz w:val="16"/>
                <w:szCs w:val="16"/>
              </w:rPr>
            </w:pPr>
            <w:r w:rsidRPr="00066710">
              <w:rPr>
                <w:color w:val="000000"/>
                <w:sz w:val="16"/>
              </w:rPr>
              <w:t>Norway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822C00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82CA8D3" w14:textId="77777777" w:rsidR="00286810" w:rsidRPr="00066710" w:rsidRDefault="00286810" w:rsidP="004877F2">
            <w:pPr>
              <w:jc w:val="right"/>
              <w:rPr>
                <w:rFonts w:cstheme="minorHAnsi"/>
                <w:color w:val="000000"/>
                <w:sz w:val="16"/>
                <w:szCs w:val="16"/>
              </w:rPr>
            </w:pPr>
            <w:r w:rsidRPr="00066710">
              <w:rPr>
                <w:color w:val="000000"/>
                <w:sz w:val="16"/>
              </w:rPr>
              <w:t>64.2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45584EA" w14:textId="77777777" w:rsidR="00286810" w:rsidRPr="00066710" w:rsidRDefault="00286810" w:rsidP="004877F2">
            <w:pPr>
              <w:jc w:val="right"/>
              <w:rPr>
                <w:rFonts w:cstheme="minorHAnsi"/>
                <w:color w:val="000000"/>
                <w:sz w:val="16"/>
                <w:szCs w:val="16"/>
              </w:rPr>
            </w:pPr>
            <w:r w:rsidRPr="00066710">
              <w:rPr>
                <w:color w:val="000000"/>
                <w:sz w:val="16"/>
              </w:rPr>
              <w:t>25.7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FD8CBD0" w14:textId="77777777" w:rsidR="00286810" w:rsidRPr="00066710" w:rsidRDefault="00286810" w:rsidP="004877F2">
            <w:pPr>
              <w:jc w:val="right"/>
              <w:rPr>
                <w:rFonts w:cstheme="minorHAnsi"/>
                <w:color w:val="000000"/>
                <w:sz w:val="16"/>
                <w:szCs w:val="16"/>
              </w:rPr>
            </w:pPr>
            <w:r w:rsidRPr="00066710">
              <w:rPr>
                <w:color w:val="000000"/>
                <w:sz w:val="16"/>
              </w:rPr>
              <w:t>-59.9</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0FDD5A"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ABAA06" w14:textId="77777777" w:rsidR="00286810" w:rsidRPr="00066710" w:rsidRDefault="00286810" w:rsidP="004877F2">
            <w:pPr>
              <w:jc w:val="right"/>
              <w:rPr>
                <w:rFonts w:cstheme="minorHAnsi"/>
                <w:color w:val="000000"/>
                <w:sz w:val="16"/>
                <w:szCs w:val="16"/>
              </w:rPr>
            </w:pPr>
            <w:r w:rsidRPr="00066710">
              <w:rPr>
                <w:color w:val="000000"/>
                <w:sz w:val="16"/>
              </w:rPr>
              <w:t>1,037.7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A68A56" w14:textId="77777777" w:rsidR="00286810" w:rsidRPr="00066710" w:rsidRDefault="00286810" w:rsidP="004877F2">
            <w:pPr>
              <w:jc w:val="right"/>
              <w:rPr>
                <w:rFonts w:cstheme="minorHAnsi"/>
                <w:color w:val="000000"/>
                <w:sz w:val="16"/>
                <w:szCs w:val="16"/>
              </w:rPr>
            </w:pPr>
            <w:r w:rsidRPr="00066710">
              <w:rPr>
                <w:color w:val="000000"/>
                <w:sz w:val="16"/>
              </w:rPr>
              <w:t>869.1</w:t>
            </w:r>
          </w:p>
        </w:tc>
        <w:tc>
          <w:tcPr>
            <w:tcW w:w="670" w:type="dxa"/>
            <w:tcBorders>
              <w:top w:val="nil"/>
              <w:left w:val="nil"/>
              <w:bottom w:val="single" w:sz="4" w:space="0" w:color="FFFFFF" w:themeColor="background1"/>
              <w:right w:val="nil"/>
            </w:tcBorders>
            <w:shd w:val="clear" w:color="auto" w:fill="auto"/>
            <w:noWrap/>
            <w:vAlign w:val="bottom"/>
            <w:hideMark/>
          </w:tcPr>
          <w:p w14:paraId="4E15DD22" w14:textId="77777777" w:rsidR="00286810" w:rsidRPr="00066710" w:rsidRDefault="00286810" w:rsidP="004877F2">
            <w:pPr>
              <w:jc w:val="right"/>
              <w:rPr>
                <w:rFonts w:cstheme="minorHAnsi"/>
                <w:color w:val="000000"/>
                <w:sz w:val="16"/>
                <w:szCs w:val="16"/>
              </w:rPr>
            </w:pPr>
            <w:r w:rsidRPr="00066710">
              <w:rPr>
                <w:color w:val="000000"/>
                <w:sz w:val="16"/>
              </w:rPr>
              <w:t>-16.2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7D13DAA" w14:textId="77777777" w:rsidR="00286810" w:rsidRPr="00066710" w:rsidRDefault="00286810" w:rsidP="004877F2">
            <w:pPr>
              <w:jc w:val="right"/>
              <w:rPr>
                <w:rFonts w:cstheme="minorHAnsi"/>
                <w:color w:val="000000"/>
                <w:sz w:val="16"/>
                <w:szCs w:val="16"/>
              </w:rPr>
            </w:pPr>
            <w:r w:rsidRPr="00066710">
              <w:rPr>
                <w:color w:val="000000"/>
                <w:sz w:val="16"/>
              </w:rPr>
              <w:t>3,379.5</w:t>
            </w:r>
          </w:p>
        </w:tc>
      </w:tr>
      <w:tr w:rsidR="00286810" w:rsidRPr="00066710" w14:paraId="5A7C8BA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771D9BC" w14:textId="77777777" w:rsidR="00286810" w:rsidRPr="00066710" w:rsidRDefault="00286810" w:rsidP="004877F2">
            <w:pPr>
              <w:rPr>
                <w:rFonts w:cstheme="minorHAnsi"/>
                <w:color w:val="000000"/>
                <w:sz w:val="16"/>
                <w:szCs w:val="16"/>
              </w:rPr>
            </w:pPr>
            <w:r w:rsidRPr="00066710">
              <w:rPr>
                <w:color w:val="000000"/>
                <w:sz w:val="16"/>
              </w:rPr>
              <w:t>Togo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5BB026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257DBB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F9410F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E5A6F6D"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7170D4"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0252C0" w14:textId="77777777" w:rsidR="00286810" w:rsidRPr="00066710" w:rsidRDefault="00286810" w:rsidP="004877F2">
            <w:pPr>
              <w:jc w:val="right"/>
              <w:rPr>
                <w:rFonts w:cstheme="minorHAnsi"/>
                <w:color w:val="000000"/>
                <w:sz w:val="16"/>
                <w:szCs w:val="16"/>
              </w:rPr>
            </w:pPr>
            <w:r w:rsidRPr="00066710">
              <w:rPr>
                <w:color w:val="000000"/>
                <w:sz w:val="16"/>
              </w:rPr>
              <w:t>87.6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2D7281" w14:textId="77777777" w:rsidR="00286810" w:rsidRPr="00066710" w:rsidRDefault="00286810" w:rsidP="004877F2">
            <w:pPr>
              <w:jc w:val="right"/>
              <w:rPr>
                <w:rFonts w:cstheme="minorHAnsi"/>
                <w:color w:val="000000"/>
                <w:sz w:val="16"/>
                <w:szCs w:val="16"/>
              </w:rPr>
            </w:pPr>
            <w:r w:rsidRPr="00066710">
              <w:rPr>
                <w:color w:val="000000"/>
                <w:sz w:val="16"/>
              </w:rPr>
              <w:t>737.8</w:t>
            </w:r>
          </w:p>
        </w:tc>
        <w:tc>
          <w:tcPr>
            <w:tcW w:w="670" w:type="dxa"/>
            <w:tcBorders>
              <w:top w:val="nil"/>
              <w:left w:val="nil"/>
              <w:bottom w:val="single" w:sz="4" w:space="0" w:color="FFFFFF" w:themeColor="background1"/>
              <w:right w:val="nil"/>
            </w:tcBorders>
            <w:shd w:val="clear" w:color="auto" w:fill="auto"/>
            <w:noWrap/>
            <w:vAlign w:val="bottom"/>
            <w:hideMark/>
          </w:tcPr>
          <w:p w14:paraId="278EA824" w14:textId="77777777" w:rsidR="00286810" w:rsidRPr="00066710" w:rsidRDefault="00286810" w:rsidP="004877F2">
            <w:pPr>
              <w:jc w:val="right"/>
              <w:rPr>
                <w:rFonts w:cstheme="minorHAnsi"/>
                <w:color w:val="000000"/>
                <w:sz w:val="16"/>
                <w:szCs w:val="16"/>
              </w:rPr>
            </w:pPr>
            <w:r w:rsidRPr="00066710">
              <w:rPr>
                <w:color w:val="000000"/>
                <w:sz w:val="16"/>
              </w:rPr>
              <w:t>742.6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6D5286C"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3A95782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70760E2" w14:textId="77777777" w:rsidR="00286810" w:rsidRPr="00066710" w:rsidRDefault="00286810" w:rsidP="004877F2">
            <w:pPr>
              <w:rPr>
                <w:rFonts w:cstheme="minorHAnsi"/>
                <w:color w:val="000000"/>
                <w:sz w:val="16"/>
                <w:szCs w:val="16"/>
              </w:rPr>
            </w:pPr>
            <w:r w:rsidRPr="00066710">
              <w:rPr>
                <w:color w:val="000000"/>
                <w:sz w:val="16"/>
              </w:rPr>
              <w:t>Senegal</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11CB3A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5255A72" w14:textId="77777777" w:rsidR="00286810" w:rsidRPr="00066710" w:rsidRDefault="00286810" w:rsidP="004877F2">
            <w:pPr>
              <w:jc w:val="right"/>
              <w:rPr>
                <w:rFonts w:cstheme="minorHAnsi"/>
                <w:color w:val="000000"/>
                <w:sz w:val="16"/>
                <w:szCs w:val="16"/>
              </w:rPr>
            </w:pPr>
            <w:r w:rsidRPr="00066710">
              <w:rPr>
                <w:color w:val="000000"/>
                <w:sz w:val="16"/>
              </w:rPr>
              <w:t>24.4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50BB197"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CA8B02B" w14:textId="77777777" w:rsidR="00286810" w:rsidRPr="00066710" w:rsidRDefault="00286810" w:rsidP="004877F2">
            <w:pPr>
              <w:jc w:val="right"/>
              <w:rPr>
                <w:rFonts w:cstheme="minorHAnsi"/>
                <w:color w:val="000000"/>
                <w:sz w:val="16"/>
                <w:szCs w:val="16"/>
              </w:rPr>
            </w:pPr>
            <w:r w:rsidRPr="00066710">
              <w:rPr>
                <w:color w:val="000000"/>
                <w:sz w:val="16"/>
              </w:rPr>
              <w:t>-99.8</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7B31F3"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37DFF7" w14:textId="77777777" w:rsidR="00286810" w:rsidRPr="00066710" w:rsidRDefault="00286810" w:rsidP="004877F2">
            <w:pPr>
              <w:jc w:val="right"/>
              <w:rPr>
                <w:rFonts w:cstheme="minorHAnsi"/>
                <w:color w:val="000000"/>
                <w:sz w:val="16"/>
                <w:szCs w:val="16"/>
              </w:rPr>
            </w:pPr>
            <w:r w:rsidRPr="00066710">
              <w:rPr>
                <w:color w:val="000000"/>
                <w:sz w:val="16"/>
              </w:rPr>
              <w:t>752.9</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97D269" w14:textId="77777777" w:rsidR="00286810" w:rsidRPr="00066710" w:rsidRDefault="00286810" w:rsidP="004877F2">
            <w:pPr>
              <w:jc w:val="right"/>
              <w:rPr>
                <w:rFonts w:cstheme="minorHAnsi"/>
                <w:color w:val="000000"/>
                <w:sz w:val="16"/>
                <w:szCs w:val="16"/>
              </w:rPr>
            </w:pPr>
            <w:r w:rsidRPr="00066710">
              <w:rPr>
                <w:color w:val="000000"/>
                <w:sz w:val="16"/>
              </w:rPr>
              <w:t>657.8</w:t>
            </w:r>
          </w:p>
        </w:tc>
        <w:tc>
          <w:tcPr>
            <w:tcW w:w="670" w:type="dxa"/>
            <w:tcBorders>
              <w:top w:val="nil"/>
              <w:left w:val="nil"/>
              <w:bottom w:val="single" w:sz="4" w:space="0" w:color="FFFFFF" w:themeColor="background1"/>
              <w:right w:val="nil"/>
            </w:tcBorders>
            <w:shd w:val="clear" w:color="auto" w:fill="auto"/>
            <w:noWrap/>
            <w:vAlign w:val="bottom"/>
            <w:hideMark/>
          </w:tcPr>
          <w:p w14:paraId="4C6FCB27" w14:textId="77777777" w:rsidR="00286810" w:rsidRPr="00066710" w:rsidRDefault="00286810" w:rsidP="004877F2">
            <w:pPr>
              <w:jc w:val="right"/>
              <w:rPr>
                <w:rFonts w:cstheme="minorHAnsi"/>
                <w:color w:val="000000"/>
                <w:sz w:val="16"/>
                <w:szCs w:val="16"/>
              </w:rPr>
            </w:pPr>
            <w:r w:rsidRPr="00066710">
              <w:rPr>
                <w:color w:val="000000"/>
                <w:sz w:val="16"/>
              </w:rPr>
              <w:t>-12.6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7D17C2B" w14:textId="77777777" w:rsidR="00286810" w:rsidRPr="00066710" w:rsidRDefault="00286810" w:rsidP="004877F2">
            <w:pPr>
              <w:jc w:val="right"/>
              <w:rPr>
                <w:rFonts w:cstheme="minorHAnsi"/>
                <w:color w:val="000000"/>
                <w:sz w:val="16"/>
                <w:szCs w:val="16"/>
              </w:rPr>
            </w:pPr>
            <w:r w:rsidRPr="00066710">
              <w:rPr>
                <w:color w:val="000000"/>
                <w:sz w:val="16"/>
              </w:rPr>
              <w:t>1,114,857.6</w:t>
            </w:r>
          </w:p>
        </w:tc>
      </w:tr>
      <w:tr w:rsidR="00286810" w:rsidRPr="00066710" w14:paraId="58A35F3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32E633B" w14:textId="77777777" w:rsidR="00286810" w:rsidRPr="00066710" w:rsidRDefault="00286810" w:rsidP="004877F2">
            <w:pPr>
              <w:rPr>
                <w:rFonts w:cstheme="minorHAnsi"/>
                <w:color w:val="000000"/>
                <w:sz w:val="16"/>
                <w:szCs w:val="16"/>
              </w:rPr>
            </w:pPr>
            <w:r w:rsidRPr="00066710">
              <w:rPr>
                <w:color w:val="000000"/>
                <w:sz w:val="16"/>
              </w:rPr>
              <w:t>Saudi Arabia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5A18EB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1ED2333" w14:textId="77777777" w:rsidR="00286810" w:rsidRPr="00066710" w:rsidRDefault="00286810" w:rsidP="004877F2">
            <w:pPr>
              <w:jc w:val="right"/>
              <w:rPr>
                <w:rFonts w:cstheme="minorHAnsi"/>
                <w:color w:val="000000"/>
                <w:sz w:val="16"/>
                <w:szCs w:val="16"/>
              </w:rPr>
            </w:pPr>
            <w:r w:rsidRPr="00066710">
              <w:rPr>
                <w:color w:val="000000"/>
                <w:sz w:val="16"/>
              </w:rPr>
              <w:t>5.0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16C4D32" w14:textId="77777777" w:rsidR="00286810" w:rsidRPr="00066710" w:rsidRDefault="00286810" w:rsidP="004877F2">
            <w:pPr>
              <w:jc w:val="right"/>
              <w:rPr>
                <w:rFonts w:cstheme="minorHAnsi"/>
                <w:color w:val="000000"/>
                <w:sz w:val="16"/>
                <w:szCs w:val="16"/>
              </w:rPr>
            </w:pPr>
            <w:r w:rsidRPr="00066710">
              <w:rPr>
                <w:color w:val="000000"/>
                <w:sz w:val="16"/>
              </w:rPr>
              <w:t>0.4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2DA3FB3" w14:textId="77777777" w:rsidR="00286810" w:rsidRPr="00066710" w:rsidRDefault="00286810" w:rsidP="004877F2">
            <w:pPr>
              <w:jc w:val="right"/>
              <w:rPr>
                <w:rFonts w:cstheme="minorHAnsi"/>
                <w:color w:val="000000"/>
                <w:sz w:val="16"/>
                <w:szCs w:val="16"/>
              </w:rPr>
            </w:pPr>
            <w:r w:rsidRPr="00066710">
              <w:rPr>
                <w:color w:val="000000"/>
                <w:sz w:val="16"/>
              </w:rPr>
              <w:t>-91.7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CA62EA"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4156EB" w14:textId="77777777" w:rsidR="00286810" w:rsidRPr="00066710" w:rsidRDefault="00286810" w:rsidP="004877F2">
            <w:pPr>
              <w:jc w:val="right"/>
              <w:rPr>
                <w:rFonts w:cstheme="minorHAnsi"/>
                <w:color w:val="000000"/>
                <w:sz w:val="16"/>
                <w:szCs w:val="16"/>
              </w:rPr>
            </w:pPr>
            <w:r w:rsidRPr="00066710">
              <w:rPr>
                <w:color w:val="000000"/>
                <w:sz w:val="16"/>
              </w:rPr>
              <w:t>645.4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B050C6" w14:textId="77777777" w:rsidR="00286810" w:rsidRPr="00066710" w:rsidRDefault="00286810" w:rsidP="004877F2">
            <w:pPr>
              <w:jc w:val="right"/>
              <w:rPr>
                <w:rFonts w:cstheme="minorHAnsi"/>
                <w:color w:val="000000"/>
                <w:sz w:val="16"/>
                <w:szCs w:val="16"/>
              </w:rPr>
            </w:pPr>
            <w:r w:rsidRPr="00066710">
              <w:rPr>
                <w:color w:val="000000"/>
                <w:sz w:val="16"/>
              </w:rPr>
              <w:t>630.9</w:t>
            </w:r>
          </w:p>
        </w:tc>
        <w:tc>
          <w:tcPr>
            <w:tcW w:w="670" w:type="dxa"/>
            <w:tcBorders>
              <w:top w:val="nil"/>
              <w:left w:val="nil"/>
              <w:bottom w:val="single" w:sz="4" w:space="0" w:color="FFFFFF" w:themeColor="background1"/>
              <w:right w:val="nil"/>
            </w:tcBorders>
            <w:shd w:val="clear" w:color="auto" w:fill="auto"/>
            <w:noWrap/>
            <w:vAlign w:val="bottom"/>
            <w:hideMark/>
          </w:tcPr>
          <w:p w14:paraId="0C179D9A" w14:textId="77777777" w:rsidR="00286810" w:rsidRPr="00066710" w:rsidRDefault="00286810" w:rsidP="004877F2">
            <w:pPr>
              <w:jc w:val="right"/>
              <w:rPr>
                <w:rFonts w:cstheme="minorHAnsi"/>
                <w:color w:val="000000"/>
                <w:sz w:val="16"/>
                <w:szCs w:val="16"/>
              </w:rPr>
            </w:pPr>
            <w:r w:rsidRPr="00066710">
              <w:rPr>
                <w:color w:val="000000"/>
                <w:sz w:val="16"/>
              </w:rPr>
              <w:t>-2.2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05DAB1" w14:textId="77777777" w:rsidR="00286810" w:rsidRPr="00066710" w:rsidRDefault="00286810" w:rsidP="004877F2">
            <w:pPr>
              <w:jc w:val="right"/>
              <w:rPr>
                <w:rFonts w:cstheme="minorHAnsi"/>
                <w:color w:val="000000"/>
                <w:sz w:val="16"/>
                <w:szCs w:val="16"/>
              </w:rPr>
            </w:pPr>
            <w:r w:rsidRPr="00066710">
              <w:rPr>
                <w:color w:val="000000"/>
                <w:sz w:val="16"/>
              </w:rPr>
              <w:t>152,381.9</w:t>
            </w:r>
          </w:p>
        </w:tc>
      </w:tr>
      <w:tr w:rsidR="00286810" w:rsidRPr="00066710" w14:paraId="0A9302F9"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E8798B2" w14:textId="77777777" w:rsidR="00286810" w:rsidRPr="00066710" w:rsidRDefault="00286810" w:rsidP="004877F2">
            <w:pPr>
              <w:rPr>
                <w:rFonts w:cstheme="minorHAnsi"/>
                <w:color w:val="000000"/>
                <w:sz w:val="16"/>
                <w:szCs w:val="16"/>
              </w:rPr>
            </w:pPr>
            <w:r w:rsidRPr="00066710">
              <w:rPr>
                <w:color w:val="000000"/>
                <w:sz w:val="16"/>
              </w:rPr>
              <w:t>Hong Kong</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2F9A4F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E39F8A3" w14:textId="77777777" w:rsidR="00286810" w:rsidRPr="00066710" w:rsidRDefault="00286810" w:rsidP="004877F2">
            <w:pPr>
              <w:jc w:val="right"/>
              <w:rPr>
                <w:rFonts w:cstheme="minorHAnsi"/>
                <w:color w:val="000000"/>
                <w:sz w:val="16"/>
                <w:szCs w:val="16"/>
              </w:rPr>
            </w:pPr>
            <w:r w:rsidRPr="00066710">
              <w:rPr>
                <w:color w:val="000000"/>
                <w:sz w:val="16"/>
              </w:rPr>
              <w:t>4,890.9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1045072" w14:textId="77777777" w:rsidR="00286810" w:rsidRPr="00066710" w:rsidRDefault="00286810" w:rsidP="004877F2">
            <w:pPr>
              <w:jc w:val="right"/>
              <w:rPr>
                <w:rFonts w:cstheme="minorHAnsi"/>
                <w:color w:val="000000"/>
                <w:sz w:val="16"/>
                <w:szCs w:val="16"/>
              </w:rPr>
            </w:pPr>
            <w:r w:rsidRPr="00066710">
              <w:rPr>
                <w:color w:val="000000"/>
                <w:sz w:val="16"/>
              </w:rPr>
              <w:t>602.4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D8EFDFB" w14:textId="77777777" w:rsidR="00286810" w:rsidRPr="00066710" w:rsidRDefault="00286810" w:rsidP="004877F2">
            <w:pPr>
              <w:jc w:val="right"/>
              <w:rPr>
                <w:rFonts w:cstheme="minorHAnsi"/>
                <w:color w:val="000000"/>
                <w:sz w:val="16"/>
                <w:szCs w:val="16"/>
              </w:rPr>
            </w:pPr>
            <w:r w:rsidRPr="00066710">
              <w:rPr>
                <w:color w:val="000000"/>
                <w:sz w:val="16"/>
              </w:rPr>
              <w:t>-87.7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B2547B"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5FEBC5" w14:textId="77777777" w:rsidR="00286810" w:rsidRPr="00066710" w:rsidRDefault="00286810" w:rsidP="004877F2">
            <w:pPr>
              <w:jc w:val="right"/>
              <w:rPr>
                <w:rFonts w:cstheme="minorHAnsi"/>
                <w:color w:val="000000"/>
                <w:sz w:val="16"/>
                <w:szCs w:val="16"/>
              </w:rPr>
            </w:pPr>
            <w:r w:rsidRPr="00066710">
              <w:rPr>
                <w:color w:val="000000"/>
                <w:sz w:val="16"/>
              </w:rPr>
              <w:t>699.2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E4AC6D" w14:textId="77777777" w:rsidR="00286810" w:rsidRPr="00066710" w:rsidRDefault="00286810" w:rsidP="004877F2">
            <w:pPr>
              <w:jc w:val="right"/>
              <w:rPr>
                <w:rFonts w:cstheme="minorHAnsi"/>
                <w:color w:val="000000"/>
                <w:sz w:val="16"/>
                <w:szCs w:val="16"/>
              </w:rPr>
            </w:pPr>
            <w:r w:rsidRPr="00066710">
              <w:rPr>
                <w:color w:val="000000"/>
                <w:sz w:val="16"/>
              </w:rPr>
              <w:t>593.8</w:t>
            </w:r>
          </w:p>
        </w:tc>
        <w:tc>
          <w:tcPr>
            <w:tcW w:w="670" w:type="dxa"/>
            <w:tcBorders>
              <w:top w:val="nil"/>
              <w:left w:val="nil"/>
              <w:bottom w:val="single" w:sz="4" w:space="0" w:color="FFFFFF" w:themeColor="background1"/>
              <w:right w:val="nil"/>
            </w:tcBorders>
            <w:shd w:val="clear" w:color="auto" w:fill="auto"/>
            <w:noWrap/>
            <w:vAlign w:val="bottom"/>
            <w:hideMark/>
          </w:tcPr>
          <w:p w14:paraId="0AB78C7F" w14:textId="77777777" w:rsidR="00286810" w:rsidRPr="00066710" w:rsidRDefault="00286810" w:rsidP="004877F2">
            <w:pPr>
              <w:jc w:val="right"/>
              <w:rPr>
                <w:rFonts w:cstheme="minorHAnsi"/>
                <w:color w:val="000000"/>
                <w:sz w:val="16"/>
                <w:szCs w:val="16"/>
              </w:rPr>
            </w:pPr>
            <w:r w:rsidRPr="00066710">
              <w:rPr>
                <w:color w:val="000000"/>
                <w:sz w:val="16"/>
              </w:rPr>
              <w:t>-15.1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E958EC5" w14:textId="77777777" w:rsidR="00286810" w:rsidRPr="00066710" w:rsidRDefault="00286810" w:rsidP="004877F2">
            <w:pPr>
              <w:jc w:val="right"/>
              <w:rPr>
                <w:rFonts w:cstheme="minorHAnsi"/>
                <w:color w:val="000000"/>
                <w:sz w:val="16"/>
                <w:szCs w:val="16"/>
              </w:rPr>
            </w:pPr>
            <w:r w:rsidRPr="00066710">
              <w:rPr>
                <w:color w:val="000000"/>
                <w:sz w:val="16"/>
              </w:rPr>
              <w:t>98.6</w:t>
            </w:r>
          </w:p>
        </w:tc>
      </w:tr>
      <w:tr w:rsidR="00286810" w:rsidRPr="00203B4B" w14:paraId="3AC5E1BE" w14:textId="77777777" w:rsidTr="004877F2">
        <w:tc>
          <w:tcPr>
            <w:tcW w:w="9237"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44E5B10C" w14:textId="77777777" w:rsidR="00286810" w:rsidRPr="00286810" w:rsidRDefault="00286810" w:rsidP="004877F2">
            <w:pPr>
              <w:jc w:val="center"/>
              <w:rPr>
                <w:rFonts w:cstheme="minorHAnsi"/>
                <w:b/>
                <w:bCs/>
                <w:sz w:val="16"/>
                <w:szCs w:val="16"/>
                <w:lang w:val="en-US"/>
              </w:rPr>
            </w:pPr>
            <w:r w:rsidRPr="00286810">
              <w:rPr>
                <w:b/>
                <w:sz w:val="16"/>
                <w:lang w:val="en-US"/>
              </w:rPr>
              <w:t>Foreign trade in the furniture industry (incl. furniture made of metal and plastic)</w:t>
            </w:r>
          </w:p>
        </w:tc>
      </w:tr>
      <w:tr w:rsidR="00286810" w:rsidRPr="00066710" w14:paraId="7FCEAA2A"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5471FB55" w14:textId="77777777" w:rsidR="00286810" w:rsidRPr="00286810" w:rsidRDefault="00286810" w:rsidP="004877F2">
            <w:pPr>
              <w:rPr>
                <w:rFonts w:cstheme="minorHAnsi"/>
                <w:color w:val="000000"/>
                <w:sz w:val="16"/>
                <w:szCs w:val="16"/>
                <w:lang w:val="en-US"/>
              </w:rPr>
            </w:pPr>
            <w:r w:rsidRPr="00286810">
              <w:rPr>
                <w:color w:val="000000"/>
                <w:sz w:val="16"/>
                <w:lang w:val="en-US"/>
              </w:rPr>
              <w:t> </w:t>
            </w:r>
          </w:p>
        </w:tc>
        <w:tc>
          <w:tcPr>
            <w:tcW w:w="3539"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33C3C665" w14:textId="77777777" w:rsidR="00286810" w:rsidRPr="00066710" w:rsidRDefault="00286810" w:rsidP="004877F2">
            <w:pPr>
              <w:jc w:val="center"/>
              <w:rPr>
                <w:rFonts w:cstheme="minorHAnsi"/>
                <w:b/>
                <w:bCs/>
                <w:color w:val="000000"/>
                <w:sz w:val="16"/>
                <w:szCs w:val="16"/>
              </w:rPr>
            </w:pPr>
            <w:r w:rsidRPr="00066710">
              <w:rPr>
                <w:b/>
                <w:color w:val="000000"/>
                <w:sz w:val="16"/>
              </w:rPr>
              <w:t>Belgian imports</w:t>
            </w:r>
          </w:p>
        </w:tc>
        <w:tc>
          <w:tcPr>
            <w:tcW w:w="3245" w:type="dxa"/>
            <w:gridSpan w:val="4"/>
            <w:tcBorders>
              <w:top w:val="nil"/>
              <w:left w:val="nil"/>
              <w:bottom w:val="nil"/>
              <w:right w:val="nil"/>
            </w:tcBorders>
            <w:shd w:val="clear" w:color="auto" w:fill="FFFFFF" w:themeFill="background1"/>
            <w:noWrap/>
            <w:vAlign w:val="bottom"/>
            <w:hideMark/>
          </w:tcPr>
          <w:p w14:paraId="789ED459" w14:textId="77777777" w:rsidR="00286810" w:rsidRPr="00066710" w:rsidRDefault="00286810" w:rsidP="004877F2">
            <w:pPr>
              <w:jc w:val="center"/>
              <w:rPr>
                <w:rFonts w:cstheme="minorHAnsi"/>
                <w:b/>
                <w:bCs/>
                <w:color w:val="000000"/>
                <w:sz w:val="16"/>
                <w:szCs w:val="16"/>
              </w:rPr>
            </w:pPr>
            <w:r w:rsidRPr="00066710">
              <w:rPr>
                <w:b/>
                <w:color w:val="000000"/>
                <w:sz w:val="16"/>
              </w:rPr>
              <w:t>Belgian exports</w:t>
            </w:r>
          </w:p>
        </w:tc>
        <w:tc>
          <w:tcPr>
            <w:tcW w:w="1157" w:type="dxa"/>
            <w:tcBorders>
              <w:top w:val="nil"/>
              <w:left w:val="single" w:sz="4" w:space="0" w:color="auto"/>
              <w:bottom w:val="nil"/>
              <w:right w:val="single" w:sz="4" w:space="0" w:color="auto"/>
            </w:tcBorders>
            <w:shd w:val="clear" w:color="auto" w:fill="FFFFFF" w:themeFill="background1"/>
            <w:noWrap/>
            <w:vAlign w:val="bottom"/>
            <w:hideMark/>
          </w:tcPr>
          <w:p w14:paraId="00455B5D" w14:textId="77777777" w:rsidR="00286810" w:rsidRPr="00066710" w:rsidRDefault="00286810" w:rsidP="004877F2">
            <w:pPr>
              <w:jc w:val="center"/>
              <w:rPr>
                <w:color w:val="000000"/>
                <w:sz w:val="16"/>
                <w:szCs w:val="16"/>
              </w:rPr>
            </w:pPr>
          </w:p>
        </w:tc>
      </w:tr>
      <w:tr w:rsidR="00286810" w:rsidRPr="00066710" w14:paraId="3B7C2D34"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366313FB" w14:textId="77777777" w:rsidR="00286810" w:rsidRPr="00066710" w:rsidRDefault="00286810" w:rsidP="004877F2">
            <w:pPr>
              <w:rPr>
                <w:rFonts w:cstheme="minorHAnsi"/>
                <w:color w:val="000000"/>
                <w:sz w:val="16"/>
                <w:szCs w:val="16"/>
              </w:rPr>
            </w:pPr>
            <w:r w:rsidRPr="00066710">
              <w:rPr>
                <w:color w:val="000000"/>
                <w:sz w:val="16"/>
              </w:rPr>
              <w:t> </w:t>
            </w:r>
          </w:p>
        </w:tc>
        <w:tc>
          <w:tcPr>
            <w:tcW w:w="899" w:type="dxa"/>
            <w:tcBorders>
              <w:top w:val="nil"/>
              <w:left w:val="single" w:sz="4" w:space="0" w:color="auto"/>
              <w:bottom w:val="nil"/>
              <w:right w:val="nil"/>
            </w:tcBorders>
            <w:shd w:val="clear" w:color="auto" w:fill="FFFFFF" w:themeFill="background1"/>
            <w:noWrap/>
            <w:vAlign w:val="bottom"/>
            <w:hideMark/>
          </w:tcPr>
          <w:p w14:paraId="12025CAD" w14:textId="77777777" w:rsidR="00286810" w:rsidRPr="00066710" w:rsidRDefault="00286810" w:rsidP="004877F2">
            <w:pPr>
              <w:jc w:val="center"/>
              <w:rPr>
                <w:rFonts w:cstheme="minorHAnsi"/>
                <w:color w:val="000000"/>
                <w:sz w:val="16"/>
                <w:szCs w:val="16"/>
              </w:rPr>
            </w:pPr>
            <w:r w:rsidRPr="00066710">
              <w:rPr>
                <w:color w:val="000000"/>
                <w:sz w:val="16"/>
              </w:rPr>
              <w:t>Percentage</w:t>
            </w:r>
          </w:p>
        </w:tc>
        <w:tc>
          <w:tcPr>
            <w:tcW w:w="985" w:type="dxa"/>
            <w:tcBorders>
              <w:top w:val="nil"/>
              <w:left w:val="nil"/>
              <w:bottom w:val="nil"/>
              <w:right w:val="nil"/>
            </w:tcBorders>
            <w:shd w:val="clear" w:color="auto" w:fill="FFFFFF" w:themeFill="background1"/>
            <w:noWrap/>
            <w:vAlign w:val="bottom"/>
            <w:hideMark/>
          </w:tcPr>
          <w:p w14:paraId="7FAA202D"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985" w:type="dxa"/>
            <w:tcBorders>
              <w:top w:val="nil"/>
              <w:left w:val="nil"/>
              <w:bottom w:val="nil"/>
              <w:right w:val="nil"/>
            </w:tcBorders>
            <w:shd w:val="clear" w:color="auto" w:fill="FFFFFF" w:themeFill="background1"/>
            <w:noWrap/>
            <w:vAlign w:val="bottom"/>
            <w:hideMark/>
          </w:tcPr>
          <w:p w14:paraId="3CA15B8E"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670" w:type="dxa"/>
            <w:tcBorders>
              <w:top w:val="nil"/>
              <w:left w:val="nil"/>
              <w:bottom w:val="nil"/>
              <w:right w:val="single" w:sz="4" w:space="0" w:color="auto"/>
            </w:tcBorders>
            <w:shd w:val="clear" w:color="auto" w:fill="FFFFFF" w:themeFill="background1"/>
            <w:noWrap/>
            <w:vAlign w:val="bottom"/>
            <w:hideMark/>
          </w:tcPr>
          <w:p w14:paraId="15421E25"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875" w:type="dxa"/>
            <w:tcBorders>
              <w:top w:val="nil"/>
              <w:left w:val="nil"/>
              <w:bottom w:val="nil"/>
              <w:right w:val="nil"/>
            </w:tcBorders>
            <w:shd w:val="clear" w:color="auto" w:fill="FFFFFF" w:themeFill="background1"/>
            <w:noWrap/>
            <w:vAlign w:val="bottom"/>
            <w:hideMark/>
          </w:tcPr>
          <w:p w14:paraId="248B36D4" w14:textId="77777777" w:rsidR="00286810" w:rsidRPr="00066710" w:rsidRDefault="00286810" w:rsidP="004877F2">
            <w:pPr>
              <w:jc w:val="center"/>
              <w:rPr>
                <w:rFonts w:cstheme="minorHAnsi"/>
                <w:color w:val="000000"/>
                <w:sz w:val="16"/>
                <w:szCs w:val="16"/>
              </w:rPr>
            </w:pPr>
            <w:r w:rsidRPr="00066710">
              <w:rPr>
                <w:color w:val="000000"/>
                <w:sz w:val="16"/>
              </w:rPr>
              <w:t>Percentage</w:t>
            </w:r>
          </w:p>
        </w:tc>
        <w:tc>
          <w:tcPr>
            <w:tcW w:w="850" w:type="dxa"/>
            <w:tcBorders>
              <w:top w:val="nil"/>
              <w:left w:val="nil"/>
              <w:bottom w:val="nil"/>
              <w:right w:val="nil"/>
            </w:tcBorders>
            <w:shd w:val="clear" w:color="auto" w:fill="FFFFFF" w:themeFill="background1"/>
            <w:noWrap/>
            <w:vAlign w:val="bottom"/>
            <w:hideMark/>
          </w:tcPr>
          <w:p w14:paraId="0BC31E23"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850" w:type="dxa"/>
            <w:tcBorders>
              <w:top w:val="nil"/>
              <w:left w:val="nil"/>
              <w:bottom w:val="nil"/>
              <w:right w:val="nil"/>
            </w:tcBorders>
            <w:shd w:val="clear" w:color="auto" w:fill="FFFFFF" w:themeFill="background1"/>
            <w:noWrap/>
            <w:vAlign w:val="bottom"/>
            <w:hideMark/>
          </w:tcPr>
          <w:p w14:paraId="5767E441"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670" w:type="dxa"/>
            <w:tcBorders>
              <w:top w:val="nil"/>
              <w:left w:val="nil"/>
              <w:bottom w:val="nil"/>
              <w:right w:val="nil"/>
            </w:tcBorders>
            <w:shd w:val="clear" w:color="auto" w:fill="FFFFFF" w:themeFill="background1"/>
            <w:noWrap/>
            <w:vAlign w:val="bottom"/>
            <w:hideMark/>
          </w:tcPr>
          <w:p w14:paraId="47AC6CA7" w14:textId="77777777" w:rsidR="00286810" w:rsidRPr="00066710" w:rsidRDefault="00286810" w:rsidP="004877F2">
            <w:pPr>
              <w:jc w:val="center"/>
              <w:rPr>
                <w:rFonts w:cstheme="minorHAnsi"/>
                <w:color w:val="000000"/>
                <w:sz w:val="16"/>
                <w:szCs w:val="16"/>
              </w:rPr>
            </w:pPr>
            <w:r w:rsidRPr="00066710">
              <w:rPr>
                <w:color w:val="000000"/>
                <w:sz w:val="16"/>
              </w:rPr>
              <w:t> </w:t>
            </w:r>
          </w:p>
        </w:tc>
        <w:tc>
          <w:tcPr>
            <w:tcW w:w="1157" w:type="dxa"/>
            <w:tcBorders>
              <w:top w:val="nil"/>
              <w:left w:val="single" w:sz="4" w:space="0" w:color="auto"/>
              <w:bottom w:val="nil"/>
              <w:right w:val="single" w:sz="4" w:space="0" w:color="auto"/>
            </w:tcBorders>
            <w:shd w:val="clear" w:color="auto" w:fill="FFFFFF" w:themeFill="background1"/>
            <w:noWrap/>
            <w:vAlign w:val="bottom"/>
            <w:hideMark/>
          </w:tcPr>
          <w:p w14:paraId="3CD110BE" w14:textId="77777777" w:rsidR="00286810" w:rsidRPr="00066710" w:rsidRDefault="00286810" w:rsidP="004877F2">
            <w:pPr>
              <w:jc w:val="center"/>
              <w:rPr>
                <w:color w:val="000000" w:themeColor="text1"/>
                <w:sz w:val="16"/>
                <w:szCs w:val="16"/>
              </w:rPr>
            </w:pPr>
            <w:r w:rsidRPr="2F196FD8">
              <w:rPr>
                <w:color w:val="000000" w:themeColor="text1"/>
                <w:sz w:val="16"/>
                <w:szCs w:val="16"/>
              </w:rPr>
              <w:t>Coverage rate</w:t>
            </w:r>
          </w:p>
        </w:tc>
      </w:tr>
      <w:tr w:rsidR="00286810" w:rsidRPr="00066710" w14:paraId="04AEFB4B" w14:textId="77777777" w:rsidTr="004877F2">
        <w:tc>
          <w:tcPr>
            <w:tcW w:w="1296" w:type="dxa"/>
            <w:tcBorders>
              <w:top w:val="nil"/>
              <w:left w:val="single" w:sz="4" w:space="0" w:color="auto"/>
              <w:bottom w:val="nil"/>
              <w:right w:val="nil"/>
            </w:tcBorders>
            <w:shd w:val="clear" w:color="auto" w:fill="FFFFFF" w:themeFill="background1"/>
            <w:noWrap/>
            <w:vAlign w:val="bottom"/>
            <w:hideMark/>
          </w:tcPr>
          <w:p w14:paraId="25DEF81D" w14:textId="77777777" w:rsidR="00286810" w:rsidRPr="00066710" w:rsidRDefault="00286810" w:rsidP="004877F2">
            <w:pPr>
              <w:rPr>
                <w:rFonts w:cstheme="minorHAnsi"/>
                <w:color w:val="000000"/>
                <w:sz w:val="16"/>
                <w:szCs w:val="16"/>
              </w:rPr>
            </w:pPr>
            <w:r w:rsidRPr="00066710">
              <w:rPr>
                <w:color w:val="000000"/>
                <w:sz w:val="16"/>
              </w:rPr>
              <w:t> </w:t>
            </w:r>
          </w:p>
        </w:tc>
        <w:tc>
          <w:tcPr>
            <w:tcW w:w="899" w:type="dxa"/>
            <w:tcBorders>
              <w:top w:val="nil"/>
              <w:left w:val="single" w:sz="4" w:space="0" w:color="auto"/>
              <w:bottom w:val="nil"/>
              <w:right w:val="nil"/>
            </w:tcBorders>
            <w:shd w:val="clear" w:color="auto" w:fill="FFFFFF" w:themeFill="background1"/>
            <w:noWrap/>
            <w:vAlign w:val="bottom"/>
            <w:hideMark/>
          </w:tcPr>
          <w:p w14:paraId="75E12A4D"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985" w:type="dxa"/>
            <w:tcBorders>
              <w:top w:val="nil"/>
              <w:left w:val="nil"/>
              <w:bottom w:val="nil"/>
              <w:right w:val="nil"/>
            </w:tcBorders>
            <w:shd w:val="clear" w:color="auto" w:fill="FFFFFF" w:themeFill="background1"/>
            <w:noWrap/>
            <w:vAlign w:val="bottom"/>
            <w:hideMark/>
          </w:tcPr>
          <w:p w14:paraId="5A20CDE6" w14:textId="77777777" w:rsidR="00286810" w:rsidRPr="00066710" w:rsidRDefault="00286810" w:rsidP="004877F2">
            <w:pPr>
              <w:jc w:val="center"/>
              <w:rPr>
                <w:rFonts w:cstheme="minorHAnsi"/>
                <w:color w:val="000000"/>
                <w:sz w:val="16"/>
                <w:szCs w:val="16"/>
              </w:rPr>
            </w:pPr>
            <w:r w:rsidRPr="00066710">
              <w:rPr>
                <w:color w:val="000000"/>
                <w:sz w:val="16"/>
              </w:rPr>
              <w:t>6m2021</w:t>
            </w:r>
          </w:p>
        </w:tc>
        <w:tc>
          <w:tcPr>
            <w:tcW w:w="985" w:type="dxa"/>
            <w:tcBorders>
              <w:top w:val="nil"/>
              <w:left w:val="nil"/>
              <w:bottom w:val="nil"/>
              <w:right w:val="nil"/>
            </w:tcBorders>
            <w:shd w:val="clear" w:color="auto" w:fill="FFFFFF" w:themeFill="background1"/>
            <w:noWrap/>
            <w:vAlign w:val="bottom"/>
            <w:hideMark/>
          </w:tcPr>
          <w:p w14:paraId="3787C932"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670" w:type="dxa"/>
            <w:tcBorders>
              <w:top w:val="nil"/>
              <w:left w:val="nil"/>
              <w:bottom w:val="nil"/>
              <w:right w:val="single" w:sz="4" w:space="0" w:color="auto"/>
            </w:tcBorders>
            <w:shd w:val="clear" w:color="auto" w:fill="FFFFFF" w:themeFill="background1"/>
            <w:noWrap/>
            <w:vAlign w:val="bottom"/>
            <w:hideMark/>
          </w:tcPr>
          <w:p w14:paraId="6F3E586E" w14:textId="77777777" w:rsidR="00286810" w:rsidRPr="00066710" w:rsidRDefault="00286810" w:rsidP="004877F2">
            <w:pPr>
              <w:jc w:val="center"/>
              <w:rPr>
                <w:rFonts w:cstheme="minorHAnsi"/>
                <w:color w:val="000000"/>
                <w:sz w:val="16"/>
                <w:szCs w:val="16"/>
              </w:rPr>
            </w:pPr>
            <w:r w:rsidRPr="00066710">
              <w:rPr>
                <w:color w:val="000000"/>
                <w:sz w:val="16"/>
              </w:rPr>
              <w:t>6m</w:t>
            </w:r>
          </w:p>
        </w:tc>
        <w:tc>
          <w:tcPr>
            <w:tcW w:w="875" w:type="dxa"/>
            <w:tcBorders>
              <w:top w:val="nil"/>
              <w:left w:val="nil"/>
              <w:bottom w:val="nil"/>
              <w:right w:val="nil"/>
            </w:tcBorders>
            <w:shd w:val="clear" w:color="auto" w:fill="FFFFFF" w:themeFill="background1"/>
            <w:noWrap/>
            <w:vAlign w:val="bottom"/>
            <w:hideMark/>
          </w:tcPr>
          <w:p w14:paraId="45D368ED"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850" w:type="dxa"/>
            <w:tcBorders>
              <w:top w:val="nil"/>
              <w:left w:val="nil"/>
              <w:bottom w:val="nil"/>
              <w:right w:val="nil"/>
            </w:tcBorders>
            <w:shd w:val="clear" w:color="auto" w:fill="FFFFFF" w:themeFill="background1"/>
            <w:noWrap/>
            <w:vAlign w:val="bottom"/>
            <w:hideMark/>
          </w:tcPr>
          <w:p w14:paraId="5A6D1467" w14:textId="77777777" w:rsidR="00286810" w:rsidRPr="00066710" w:rsidRDefault="00286810" w:rsidP="004877F2">
            <w:pPr>
              <w:jc w:val="center"/>
              <w:rPr>
                <w:rFonts w:cstheme="minorHAnsi"/>
                <w:color w:val="000000"/>
                <w:sz w:val="16"/>
                <w:szCs w:val="16"/>
              </w:rPr>
            </w:pPr>
            <w:r w:rsidRPr="00066710">
              <w:rPr>
                <w:color w:val="000000"/>
                <w:sz w:val="16"/>
              </w:rPr>
              <w:t>6m2021</w:t>
            </w:r>
          </w:p>
        </w:tc>
        <w:tc>
          <w:tcPr>
            <w:tcW w:w="850" w:type="dxa"/>
            <w:tcBorders>
              <w:top w:val="nil"/>
              <w:left w:val="nil"/>
              <w:bottom w:val="nil"/>
              <w:right w:val="nil"/>
            </w:tcBorders>
            <w:shd w:val="clear" w:color="auto" w:fill="FFFFFF" w:themeFill="background1"/>
            <w:noWrap/>
            <w:vAlign w:val="bottom"/>
            <w:hideMark/>
          </w:tcPr>
          <w:p w14:paraId="25B49820" w14:textId="77777777" w:rsidR="00286810" w:rsidRPr="00066710" w:rsidRDefault="00286810" w:rsidP="004877F2">
            <w:pPr>
              <w:jc w:val="center"/>
              <w:rPr>
                <w:rFonts w:cstheme="minorHAnsi"/>
                <w:color w:val="000000"/>
                <w:sz w:val="16"/>
                <w:szCs w:val="16"/>
              </w:rPr>
            </w:pPr>
            <w:r w:rsidRPr="00066710">
              <w:rPr>
                <w:color w:val="000000"/>
                <w:sz w:val="16"/>
              </w:rPr>
              <w:t>6m2022</w:t>
            </w:r>
          </w:p>
        </w:tc>
        <w:tc>
          <w:tcPr>
            <w:tcW w:w="670" w:type="dxa"/>
            <w:tcBorders>
              <w:top w:val="nil"/>
              <w:left w:val="nil"/>
              <w:bottom w:val="nil"/>
              <w:right w:val="single" w:sz="4" w:space="0" w:color="auto"/>
            </w:tcBorders>
            <w:shd w:val="clear" w:color="auto" w:fill="FFFFFF" w:themeFill="background1"/>
            <w:noWrap/>
            <w:vAlign w:val="bottom"/>
            <w:hideMark/>
          </w:tcPr>
          <w:p w14:paraId="1C3CBBE6" w14:textId="77777777" w:rsidR="00286810" w:rsidRPr="00066710" w:rsidRDefault="00286810" w:rsidP="004877F2">
            <w:pPr>
              <w:jc w:val="center"/>
              <w:rPr>
                <w:rFonts w:cstheme="minorHAnsi"/>
                <w:color w:val="000000"/>
                <w:sz w:val="16"/>
                <w:szCs w:val="16"/>
              </w:rPr>
            </w:pPr>
            <w:r w:rsidRPr="00066710">
              <w:rPr>
                <w:color w:val="000000"/>
                <w:sz w:val="16"/>
              </w:rPr>
              <w:t>6m</w:t>
            </w:r>
          </w:p>
        </w:tc>
        <w:tc>
          <w:tcPr>
            <w:tcW w:w="1157" w:type="dxa"/>
            <w:tcBorders>
              <w:top w:val="nil"/>
              <w:left w:val="nil"/>
              <w:bottom w:val="nil"/>
              <w:right w:val="single" w:sz="4" w:space="0" w:color="auto"/>
            </w:tcBorders>
            <w:shd w:val="clear" w:color="auto" w:fill="FFFFFF" w:themeFill="background1"/>
            <w:noWrap/>
            <w:vAlign w:val="bottom"/>
            <w:hideMark/>
          </w:tcPr>
          <w:p w14:paraId="610129D7" w14:textId="77777777" w:rsidR="00286810" w:rsidRPr="00066710" w:rsidRDefault="00286810" w:rsidP="004877F2">
            <w:pPr>
              <w:jc w:val="center"/>
              <w:rPr>
                <w:rFonts w:cstheme="minorHAnsi"/>
                <w:color w:val="000000"/>
                <w:sz w:val="16"/>
                <w:szCs w:val="16"/>
              </w:rPr>
            </w:pPr>
            <w:r w:rsidRPr="00066710">
              <w:rPr>
                <w:color w:val="000000"/>
                <w:sz w:val="16"/>
              </w:rPr>
              <w:t>6m2022</w:t>
            </w:r>
          </w:p>
        </w:tc>
      </w:tr>
      <w:tr w:rsidR="00286810" w:rsidRPr="00066710" w14:paraId="5266B09E" w14:textId="77777777" w:rsidTr="004877F2">
        <w:tc>
          <w:tcPr>
            <w:tcW w:w="1296"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47EB2C16" w14:textId="77777777" w:rsidR="00286810" w:rsidRPr="00066710" w:rsidRDefault="00286810" w:rsidP="004877F2">
            <w:pPr>
              <w:rPr>
                <w:rFonts w:cstheme="minorHAnsi"/>
                <w:b/>
                <w:bCs/>
                <w:color w:val="000000"/>
                <w:sz w:val="16"/>
                <w:szCs w:val="16"/>
              </w:rPr>
            </w:pPr>
            <w:r w:rsidRPr="00066710">
              <w:rPr>
                <w:b/>
                <w:color w:val="000000"/>
                <w:sz w:val="16"/>
              </w:rPr>
              <w:t>Countries</w:t>
            </w:r>
          </w:p>
        </w:tc>
        <w:tc>
          <w:tcPr>
            <w:tcW w:w="89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2407188B" w14:textId="77777777" w:rsidR="00286810" w:rsidRPr="00066710" w:rsidRDefault="00286810" w:rsidP="004877F2">
            <w:pPr>
              <w:jc w:val="center"/>
              <w:rPr>
                <w:rFonts w:cstheme="minorHAnsi"/>
                <w:color w:val="000000"/>
                <w:sz w:val="16"/>
                <w:szCs w:val="16"/>
              </w:rPr>
            </w:pPr>
            <w:r w:rsidRPr="00066710">
              <w:rPr>
                <w:color w:val="000000"/>
                <w:sz w:val="16"/>
              </w:rPr>
              <w:t>in %</w:t>
            </w:r>
          </w:p>
        </w:tc>
        <w:tc>
          <w:tcPr>
            <w:tcW w:w="98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3F454A16"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98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03813AB"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14:paraId="6257739E" w14:textId="77777777" w:rsidR="00286810" w:rsidRPr="00066710" w:rsidRDefault="00286810" w:rsidP="004877F2">
            <w:pPr>
              <w:jc w:val="center"/>
              <w:rPr>
                <w:rFonts w:cstheme="minorHAnsi"/>
                <w:color w:val="000000"/>
                <w:sz w:val="16"/>
                <w:szCs w:val="16"/>
              </w:rPr>
            </w:pPr>
            <w:r w:rsidRPr="00066710">
              <w:rPr>
                <w:color w:val="000000"/>
                <w:sz w:val="16"/>
              </w:rPr>
              <w:t>22/21</w:t>
            </w:r>
          </w:p>
        </w:tc>
        <w:tc>
          <w:tcPr>
            <w:tcW w:w="875"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4FFB4ED6" w14:textId="77777777" w:rsidR="00286810" w:rsidRPr="00066710" w:rsidRDefault="00286810" w:rsidP="004877F2">
            <w:pPr>
              <w:jc w:val="center"/>
              <w:rPr>
                <w:rFonts w:cstheme="minorHAnsi"/>
                <w:color w:val="000000"/>
                <w:sz w:val="16"/>
                <w:szCs w:val="16"/>
              </w:rPr>
            </w:pPr>
            <w:r w:rsidRPr="00066710">
              <w:rPr>
                <w:color w:val="000000"/>
                <w:sz w:val="16"/>
              </w:rPr>
              <w:t>in %</w:t>
            </w:r>
          </w:p>
        </w:tc>
        <w:tc>
          <w:tcPr>
            <w:tcW w:w="85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770C4ACB"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85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D9E52E5" w14:textId="77777777" w:rsidR="00286810" w:rsidRPr="00066710" w:rsidRDefault="00286810" w:rsidP="004877F2">
            <w:pPr>
              <w:jc w:val="center"/>
              <w:rPr>
                <w:rFonts w:cstheme="minorHAnsi"/>
                <w:color w:val="000000"/>
                <w:sz w:val="16"/>
                <w:szCs w:val="16"/>
              </w:rPr>
            </w:pPr>
            <w:r w:rsidRPr="00066710">
              <w:rPr>
                <w:color w:val="000000"/>
                <w:sz w:val="16"/>
              </w:rPr>
              <w:t>1,000 EUR</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14:paraId="2DDEEC7D" w14:textId="77777777" w:rsidR="00286810" w:rsidRPr="00066710" w:rsidRDefault="00286810" w:rsidP="004877F2">
            <w:pPr>
              <w:jc w:val="center"/>
              <w:rPr>
                <w:rFonts w:cstheme="minorHAnsi"/>
                <w:color w:val="000000"/>
                <w:sz w:val="16"/>
                <w:szCs w:val="16"/>
              </w:rPr>
            </w:pPr>
            <w:r w:rsidRPr="00066710">
              <w:rPr>
                <w:color w:val="000000"/>
                <w:sz w:val="16"/>
              </w:rPr>
              <w:t>22/21</w:t>
            </w:r>
          </w:p>
        </w:tc>
        <w:tc>
          <w:tcPr>
            <w:tcW w:w="1157"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5C235452" w14:textId="77777777" w:rsidR="00286810" w:rsidRPr="00066710" w:rsidRDefault="00286810" w:rsidP="004877F2">
            <w:pPr>
              <w:jc w:val="center"/>
              <w:rPr>
                <w:rFonts w:cstheme="minorHAnsi"/>
                <w:color w:val="000000"/>
                <w:sz w:val="16"/>
                <w:szCs w:val="16"/>
              </w:rPr>
            </w:pPr>
            <w:r w:rsidRPr="00066710">
              <w:rPr>
                <w:color w:val="000000"/>
                <w:sz w:val="16"/>
              </w:rPr>
              <w:t>(Exp/imp)</w:t>
            </w:r>
          </w:p>
        </w:tc>
      </w:tr>
      <w:tr w:rsidR="00286810" w:rsidRPr="00066710" w14:paraId="58160EC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8928DA4" w14:textId="77777777" w:rsidR="00286810" w:rsidRPr="00066710" w:rsidRDefault="00286810" w:rsidP="004877F2">
            <w:pPr>
              <w:rPr>
                <w:rFonts w:cstheme="minorHAnsi"/>
                <w:color w:val="000000"/>
                <w:sz w:val="16"/>
                <w:szCs w:val="16"/>
              </w:rPr>
            </w:pPr>
            <w:r w:rsidRPr="00066710">
              <w:rPr>
                <w:color w:val="000000"/>
                <w:sz w:val="16"/>
              </w:rPr>
              <w:t>India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950AA2A" w14:textId="77777777" w:rsidR="00286810" w:rsidRPr="00066710" w:rsidRDefault="00286810" w:rsidP="004877F2">
            <w:pPr>
              <w:jc w:val="right"/>
              <w:rPr>
                <w:rFonts w:cstheme="minorHAnsi"/>
                <w:color w:val="000000"/>
                <w:sz w:val="16"/>
                <w:szCs w:val="16"/>
              </w:rPr>
            </w:pPr>
            <w:r w:rsidRPr="00066710">
              <w:rPr>
                <w:color w:val="000000"/>
                <w:sz w:val="16"/>
              </w:rPr>
              <w:t>1.5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69CE213" w14:textId="77777777" w:rsidR="00286810" w:rsidRPr="00066710" w:rsidRDefault="00286810" w:rsidP="004877F2">
            <w:pPr>
              <w:jc w:val="right"/>
              <w:rPr>
                <w:rFonts w:cstheme="minorHAnsi"/>
                <w:color w:val="000000"/>
                <w:sz w:val="16"/>
                <w:szCs w:val="16"/>
              </w:rPr>
            </w:pPr>
            <w:r w:rsidRPr="00066710">
              <w:rPr>
                <w:color w:val="000000"/>
                <w:sz w:val="16"/>
              </w:rPr>
              <w:t>16,761.0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B99E46C" w14:textId="77777777" w:rsidR="00286810" w:rsidRPr="00066710" w:rsidRDefault="00286810" w:rsidP="004877F2">
            <w:pPr>
              <w:jc w:val="right"/>
              <w:rPr>
                <w:rFonts w:cstheme="minorHAnsi"/>
                <w:color w:val="000000"/>
                <w:sz w:val="16"/>
                <w:szCs w:val="16"/>
              </w:rPr>
            </w:pPr>
            <w:r w:rsidRPr="00066710">
              <w:rPr>
                <w:color w:val="000000"/>
                <w:sz w:val="16"/>
              </w:rPr>
              <w:t>22,334.7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9DCBDD4" w14:textId="77777777" w:rsidR="00286810" w:rsidRPr="00066710" w:rsidRDefault="00286810" w:rsidP="004877F2">
            <w:pPr>
              <w:jc w:val="right"/>
              <w:rPr>
                <w:rFonts w:cstheme="minorHAnsi"/>
                <w:color w:val="000000"/>
                <w:sz w:val="16"/>
                <w:szCs w:val="16"/>
              </w:rPr>
            </w:pPr>
            <w:r w:rsidRPr="00066710">
              <w:rPr>
                <w:color w:val="000000"/>
                <w:sz w:val="16"/>
              </w:rPr>
              <w:t>33.3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6B4981"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EFAB63" w14:textId="77777777" w:rsidR="00286810" w:rsidRPr="00066710" w:rsidRDefault="00286810" w:rsidP="004877F2">
            <w:pPr>
              <w:jc w:val="right"/>
              <w:rPr>
                <w:rFonts w:cstheme="minorHAnsi"/>
                <w:color w:val="000000"/>
                <w:sz w:val="16"/>
                <w:szCs w:val="16"/>
              </w:rPr>
            </w:pPr>
            <w:r w:rsidRPr="00066710">
              <w:rPr>
                <w:color w:val="000000"/>
                <w:sz w:val="16"/>
              </w:rPr>
              <w:t>196.3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8EC06C" w14:textId="77777777" w:rsidR="00286810" w:rsidRPr="00066710" w:rsidRDefault="00286810" w:rsidP="004877F2">
            <w:pPr>
              <w:jc w:val="right"/>
              <w:rPr>
                <w:rFonts w:cstheme="minorHAnsi"/>
                <w:color w:val="000000"/>
                <w:sz w:val="16"/>
                <w:szCs w:val="16"/>
              </w:rPr>
            </w:pPr>
            <w:r w:rsidRPr="00066710">
              <w:rPr>
                <w:color w:val="000000"/>
                <w:sz w:val="16"/>
              </w:rPr>
              <w:t>564.0</w:t>
            </w:r>
          </w:p>
        </w:tc>
        <w:tc>
          <w:tcPr>
            <w:tcW w:w="670" w:type="dxa"/>
            <w:tcBorders>
              <w:top w:val="nil"/>
              <w:left w:val="nil"/>
              <w:bottom w:val="single" w:sz="4" w:space="0" w:color="FFFFFF" w:themeColor="background1"/>
              <w:right w:val="nil"/>
            </w:tcBorders>
            <w:shd w:val="clear" w:color="auto" w:fill="auto"/>
            <w:noWrap/>
            <w:vAlign w:val="bottom"/>
            <w:hideMark/>
          </w:tcPr>
          <w:p w14:paraId="72789F56" w14:textId="77777777" w:rsidR="00286810" w:rsidRPr="00066710" w:rsidRDefault="00286810" w:rsidP="004877F2">
            <w:pPr>
              <w:jc w:val="right"/>
              <w:rPr>
                <w:rFonts w:cstheme="minorHAnsi"/>
                <w:color w:val="000000"/>
                <w:sz w:val="16"/>
                <w:szCs w:val="16"/>
              </w:rPr>
            </w:pPr>
            <w:r w:rsidRPr="00066710">
              <w:rPr>
                <w:color w:val="000000"/>
                <w:sz w:val="16"/>
              </w:rPr>
              <w:t>187.4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885979D" w14:textId="77777777" w:rsidR="00286810" w:rsidRPr="00066710" w:rsidRDefault="00286810" w:rsidP="004877F2">
            <w:pPr>
              <w:jc w:val="right"/>
              <w:rPr>
                <w:rFonts w:cstheme="minorHAnsi"/>
                <w:color w:val="000000"/>
                <w:sz w:val="16"/>
                <w:szCs w:val="16"/>
              </w:rPr>
            </w:pPr>
            <w:r w:rsidRPr="00066710">
              <w:rPr>
                <w:color w:val="000000"/>
                <w:sz w:val="16"/>
              </w:rPr>
              <w:t>2.5</w:t>
            </w:r>
          </w:p>
        </w:tc>
      </w:tr>
      <w:tr w:rsidR="00286810" w:rsidRPr="00066710" w14:paraId="3C8E5E5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1415FE6" w14:textId="77777777" w:rsidR="00286810" w:rsidRPr="00066710" w:rsidRDefault="00286810" w:rsidP="004877F2">
            <w:pPr>
              <w:rPr>
                <w:rFonts w:cstheme="minorHAnsi"/>
                <w:color w:val="000000"/>
                <w:sz w:val="16"/>
                <w:szCs w:val="16"/>
              </w:rPr>
            </w:pPr>
            <w:r w:rsidRPr="00066710">
              <w:rPr>
                <w:color w:val="000000"/>
                <w:sz w:val="16"/>
              </w:rPr>
              <w:t>Iceland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408ED9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58ECCE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257DC7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FB08DB5"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390424"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609313" w14:textId="77777777" w:rsidR="00286810" w:rsidRPr="00066710" w:rsidRDefault="00286810" w:rsidP="004877F2">
            <w:pPr>
              <w:jc w:val="right"/>
              <w:rPr>
                <w:rFonts w:cstheme="minorHAnsi"/>
                <w:color w:val="000000"/>
                <w:sz w:val="16"/>
                <w:szCs w:val="16"/>
              </w:rPr>
            </w:pPr>
            <w:r w:rsidRPr="00066710">
              <w:rPr>
                <w:color w:val="000000"/>
                <w:sz w:val="16"/>
              </w:rPr>
              <w:t>677.7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F70A02" w14:textId="77777777" w:rsidR="00286810" w:rsidRPr="00066710" w:rsidRDefault="00286810" w:rsidP="004877F2">
            <w:pPr>
              <w:jc w:val="right"/>
              <w:rPr>
                <w:rFonts w:cstheme="minorHAnsi"/>
                <w:color w:val="000000"/>
                <w:sz w:val="16"/>
                <w:szCs w:val="16"/>
              </w:rPr>
            </w:pPr>
            <w:r w:rsidRPr="00066710">
              <w:rPr>
                <w:color w:val="000000"/>
                <w:sz w:val="16"/>
              </w:rPr>
              <w:t>550.5</w:t>
            </w:r>
          </w:p>
        </w:tc>
        <w:tc>
          <w:tcPr>
            <w:tcW w:w="670" w:type="dxa"/>
            <w:tcBorders>
              <w:top w:val="nil"/>
              <w:left w:val="nil"/>
              <w:bottom w:val="single" w:sz="4" w:space="0" w:color="FFFFFF" w:themeColor="background1"/>
              <w:right w:val="nil"/>
            </w:tcBorders>
            <w:shd w:val="clear" w:color="auto" w:fill="auto"/>
            <w:noWrap/>
            <w:vAlign w:val="bottom"/>
            <w:hideMark/>
          </w:tcPr>
          <w:p w14:paraId="6C47D1DB" w14:textId="77777777" w:rsidR="00286810" w:rsidRPr="00066710" w:rsidRDefault="00286810" w:rsidP="004877F2">
            <w:pPr>
              <w:jc w:val="right"/>
              <w:rPr>
                <w:rFonts w:cstheme="minorHAnsi"/>
                <w:color w:val="000000"/>
                <w:sz w:val="16"/>
                <w:szCs w:val="16"/>
              </w:rPr>
            </w:pPr>
            <w:r w:rsidRPr="00066710">
              <w:rPr>
                <w:color w:val="000000"/>
                <w:sz w:val="16"/>
              </w:rPr>
              <w:t>-18.8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A4AA450"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579A8E2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CC50751" w14:textId="77777777" w:rsidR="00286810" w:rsidRPr="00066710" w:rsidRDefault="00286810" w:rsidP="004877F2">
            <w:pPr>
              <w:rPr>
                <w:rFonts w:cstheme="minorHAnsi"/>
                <w:color w:val="000000"/>
                <w:sz w:val="16"/>
                <w:szCs w:val="16"/>
              </w:rPr>
            </w:pPr>
            <w:r w:rsidRPr="00066710">
              <w:rPr>
                <w:color w:val="000000"/>
                <w:sz w:val="16"/>
              </w:rPr>
              <w:t>Lebanon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B6899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ECA280D" w14:textId="77777777" w:rsidR="00286810" w:rsidRPr="00066710" w:rsidRDefault="00286810" w:rsidP="004877F2">
            <w:pPr>
              <w:jc w:val="right"/>
              <w:rPr>
                <w:rFonts w:cstheme="minorHAnsi"/>
                <w:color w:val="000000"/>
                <w:sz w:val="16"/>
                <w:szCs w:val="16"/>
              </w:rPr>
            </w:pPr>
            <w:r w:rsidRPr="00066710">
              <w:rPr>
                <w:color w:val="000000"/>
                <w:sz w:val="16"/>
              </w:rPr>
              <w:t>271.5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C6F304B" w14:textId="77777777" w:rsidR="00286810" w:rsidRPr="00066710" w:rsidRDefault="00286810" w:rsidP="004877F2">
            <w:pPr>
              <w:jc w:val="right"/>
              <w:rPr>
                <w:rFonts w:cstheme="minorHAnsi"/>
                <w:color w:val="000000"/>
                <w:sz w:val="16"/>
                <w:szCs w:val="16"/>
              </w:rPr>
            </w:pPr>
            <w:r w:rsidRPr="00066710">
              <w:rPr>
                <w:color w:val="000000"/>
                <w:sz w:val="16"/>
              </w:rPr>
              <w:t>423.1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09CA894" w14:textId="77777777" w:rsidR="00286810" w:rsidRPr="00066710" w:rsidRDefault="00286810" w:rsidP="004877F2">
            <w:pPr>
              <w:jc w:val="right"/>
              <w:rPr>
                <w:rFonts w:cstheme="minorHAnsi"/>
                <w:color w:val="000000"/>
                <w:sz w:val="16"/>
                <w:szCs w:val="16"/>
              </w:rPr>
            </w:pPr>
            <w:r w:rsidRPr="00066710">
              <w:rPr>
                <w:color w:val="000000"/>
                <w:sz w:val="16"/>
              </w:rPr>
              <w:t>55.8</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FC0F02"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D88003" w14:textId="77777777" w:rsidR="00286810" w:rsidRPr="00066710" w:rsidRDefault="00286810" w:rsidP="004877F2">
            <w:pPr>
              <w:jc w:val="right"/>
              <w:rPr>
                <w:rFonts w:cstheme="minorHAnsi"/>
                <w:color w:val="000000"/>
                <w:sz w:val="16"/>
                <w:szCs w:val="16"/>
              </w:rPr>
            </w:pPr>
            <w:r w:rsidRPr="00066710">
              <w:rPr>
                <w:color w:val="000000"/>
                <w:sz w:val="16"/>
              </w:rPr>
              <w:t>323.4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B3ED73" w14:textId="77777777" w:rsidR="00286810" w:rsidRPr="00066710" w:rsidRDefault="00286810" w:rsidP="004877F2">
            <w:pPr>
              <w:jc w:val="right"/>
              <w:rPr>
                <w:rFonts w:cstheme="minorHAnsi"/>
                <w:color w:val="000000"/>
                <w:sz w:val="16"/>
                <w:szCs w:val="16"/>
              </w:rPr>
            </w:pPr>
            <w:r w:rsidRPr="00066710">
              <w:rPr>
                <w:color w:val="000000"/>
                <w:sz w:val="16"/>
              </w:rPr>
              <w:t>544.4</w:t>
            </w:r>
          </w:p>
        </w:tc>
        <w:tc>
          <w:tcPr>
            <w:tcW w:w="670" w:type="dxa"/>
            <w:tcBorders>
              <w:top w:val="nil"/>
              <w:left w:val="nil"/>
              <w:bottom w:val="single" w:sz="4" w:space="0" w:color="FFFFFF" w:themeColor="background1"/>
              <w:right w:val="nil"/>
            </w:tcBorders>
            <w:shd w:val="clear" w:color="auto" w:fill="auto"/>
            <w:noWrap/>
            <w:vAlign w:val="bottom"/>
            <w:hideMark/>
          </w:tcPr>
          <w:p w14:paraId="01A92016" w14:textId="77777777" w:rsidR="00286810" w:rsidRPr="00066710" w:rsidRDefault="00286810" w:rsidP="004877F2">
            <w:pPr>
              <w:jc w:val="right"/>
              <w:rPr>
                <w:rFonts w:cstheme="minorHAnsi"/>
                <w:color w:val="000000"/>
                <w:sz w:val="16"/>
                <w:szCs w:val="16"/>
              </w:rPr>
            </w:pPr>
            <w:r w:rsidRPr="00066710">
              <w:rPr>
                <w:color w:val="000000"/>
                <w:sz w:val="16"/>
              </w:rPr>
              <w:t>68.4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408E29" w14:textId="77777777" w:rsidR="00286810" w:rsidRPr="00066710" w:rsidRDefault="00286810" w:rsidP="004877F2">
            <w:pPr>
              <w:jc w:val="right"/>
              <w:rPr>
                <w:rFonts w:cstheme="minorHAnsi"/>
                <w:color w:val="000000"/>
                <w:sz w:val="16"/>
                <w:szCs w:val="16"/>
              </w:rPr>
            </w:pPr>
            <w:r w:rsidRPr="00066710">
              <w:rPr>
                <w:color w:val="000000"/>
                <w:sz w:val="16"/>
              </w:rPr>
              <w:t>128.7</w:t>
            </w:r>
          </w:p>
        </w:tc>
      </w:tr>
      <w:tr w:rsidR="00286810" w:rsidRPr="00066710" w14:paraId="6F82E54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F4BD8D0" w14:textId="77777777" w:rsidR="00286810" w:rsidRPr="00066710" w:rsidRDefault="00286810" w:rsidP="004877F2">
            <w:pPr>
              <w:rPr>
                <w:rFonts w:cstheme="minorHAnsi"/>
                <w:color w:val="000000"/>
                <w:sz w:val="16"/>
                <w:szCs w:val="16"/>
              </w:rPr>
            </w:pPr>
            <w:r w:rsidRPr="00066710">
              <w:rPr>
                <w:color w:val="000000"/>
                <w:sz w:val="16"/>
              </w:rPr>
              <w:t>Thailand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BC98651" w14:textId="77777777" w:rsidR="00286810" w:rsidRPr="00066710" w:rsidRDefault="00286810" w:rsidP="004877F2">
            <w:pPr>
              <w:jc w:val="right"/>
              <w:rPr>
                <w:rFonts w:cstheme="minorHAnsi"/>
                <w:color w:val="000000"/>
                <w:sz w:val="16"/>
                <w:szCs w:val="16"/>
              </w:rPr>
            </w:pPr>
            <w:r w:rsidRPr="00066710">
              <w:rPr>
                <w:color w:val="000000"/>
                <w:sz w:val="16"/>
              </w:rPr>
              <w:t>0.4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D32BAB2" w14:textId="77777777" w:rsidR="00286810" w:rsidRPr="00066710" w:rsidRDefault="00286810" w:rsidP="004877F2">
            <w:pPr>
              <w:jc w:val="right"/>
              <w:rPr>
                <w:rFonts w:cstheme="minorHAnsi"/>
                <w:color w:val="000000"/>
                <w:sz w:val="16"/>
                <w:szCs w:val="16"/>
              </w:rPr>
            </w:pPr>
            <w:r w:rsidRPr="00066710">
              <w:rPr>
                <w:color w:val="000000"/>
                <w:sz w:val="16"/>
              </w:rPr>
              <w:t>4,200.4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E3146D0" w14:textId="77777777" w:rsidR="00286810" w:rsidRPr="00066710" w:rsidRDefault="00286810" w:rsidP="004877F2">
            <w:pPr>
              <w:jc w:val="right"/>
              <w:rPr>
                <w:rFonts w:cstheme="minorHAnsi"/>
                <w:color w:val="000000"/>
                <w:sz w:val="16"/>
                <w:szCs w:val="16"/>
              </w:rPr>
            </w:pPr>
            <w:r w:rsidRPr="00066710">
              <w:rPr>
                <w:color w:val="000000"/>
                <w:sz w:val="16"/>
              </w:rPr>
              <w:t>5,352.1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3764EAF" w14:textId="77777777" w:rsidR="00286810" w:rsidRPr="00066710" w:rsidRDefault="00286810" w:rsidP="004877F2">
            <w:pPr>
              <w:jc w:val="right"/>
              <w:rPr>
                <w:rFonts w:cstheme="minorHAnsi"/>
                <w:color w:val="000000"/>
                <w:sz w:val="16"/>
                <w:szCs w:val="16"/>
              </w:rPr>
            </w:pPr>
            <w:r w:rsidRPr="00066710">
              <w:rPr>
                <w:color w:val="000000"/>
                <w:sz w:val="16"/>
              </w:rPr>
              <w:t>27.4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B58776"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1A8551" w14:textId="77777777" w:rsidR="00286810" w:rsidRPr="00066710" w:rsidRDefault="00286810" w:rsidP="004877F2">
            <w:pPr>
              <w:jc w:val="right"/>
              <w:rPr>
                <w:rFonts w:cstheme="minorHAnsi"/>
                <w:color w:val="000000"/>
                <w:sz w:val="16"/>
                <w:szCs w:val="16"/>
              </w:rPr>
            </w:pPr>
            <w:r w:rsidRPr="00066710">
              <w:rPr>
                <w:color w:val="000000"/>
                <w:sz w:val="16"/>
              </w:rPr>
              <w:t>406.7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797141" w14:textId="77777777" w:rsidR="00286810" w:rsidRPr="00066710" w:rsidRDefault="00286810" w:rsidP="004877F2">
            <w:pPr>
              <w:jc w:val="right"/>
              <w:rPr>
                <w:rFonts w:cstheme="minorHAnsi"/>
                <w:color w:val="000000"/>
                <w:sz w:val="16"/>
                <w:szCs w:val="16"/>
              </w:rPr>
            </w:pPr>
            <w:r w:rsidRPr="00066710">
              <w:rPr>
                <w:color w:val="000000"/>
                <w:sz w:val="16"/>
              </w:rPr>
              <w:t>542.4</w:t>
            </w:r>
          </w:p>
        </w:tc>
        <w:tc>
          <w:tcPr>
            <w:tcW w:w="670" w:type="dxa"/>
            <w:tcBorders>
              <w:top w:val="nil"/>
              <w:left w:val="nil"/>
              <w:bottom w:val="single" w:sz="4" w:space="0" w:color="FFFFFF" w:themeColor="background1"/>
              <w:right w:val="nil"/>
            </w:tcBorders>
            <w:shd w:val="clear" w:color="auto" w:fill="auto"/>
            <w:noWrap/>
            <w:vAlign w:val="bottom"/>
            <w:hideMark/>
          </w:tcPr>
          <w:p w14:paraId="14FABC22" w14:textId="77777777" w:rsidR="00286810" w:rsidRPr="00066710" w:rsidRDefault="00286810" w:rsidP="004877F2">
            <w:pPr>
              <w:jc w:val="right"/>
              <w:rPr>
                <w:rFonts w:cstheme="minorHAnsi"/>
                <w:color w:val="000000"/>
                <w:sz w:val="16"/>
                <w:szCs w:val="16"/>
              </w:rPr>
            </w:pPr>
            <w:r w:rsidRPr="00066710">
              <w:rPr>
                <w:color w:val="000000"/>
                <w:sz w:val="16"/>
              </w:rPr>
              <w:t>33.4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101F05" w14:textId="77777777" w:rsidR="00286810" w:rsidRPr="00066710" w:rsidRDefault="00286810" w:rsidP="004877F2">
            <w:pPr>
              <w:jc w:val="right"/>
              <w:rPr>
                <w:rFonts w:cstheme="minorHAnsi"/>
                <w:color w:val="000000"/>
                <w:sz w:val="16"/>
                <w:szCs w:val="16"/>
              </w:rPr>
            </w:pPr>
            <w:r w:rsidRPr="00066710">
              <w:rPr>
                <w:color w:val="000000"/>
                <w:sz w:val="16"/>
              </w:rPr>
              <w:t>10.1</w:t>
            </w:r>
          </w:p>
        </w:tc>
      </w:tr>
      <w:tr w:rsidR="00286810" w:rsidRPr="00066710" w14:paraId="4955A6D2"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BA27BFC" w14:textId="77777777" w:rsidR="00286810" w:rsidRPr="00066710" w:rsidRDefault="00286810" w:rsidP="004877F2">
            <w:pPr>
              <w:rPr>
                <w:rFonts w:cstheme="minorHAnsi"/>
                <w:color w:val="000000"/>
                <w:sz w:val="16"/>
                <w:szCs w:val="16"/>
              </w:rPr>
            </w:pPr>
            <w:r w:rsidRPr="00066710">
              <w:rPr>
                <w:color w:val="000000"/>
                <w:sz w:val="16"/>
              </w:rPr>
              <w:t>Brazil</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37B2605" w14:textId="77777777" w:rsidR="00286810" w:rsidRPr="00066710" w:rsidRDefault="00286810" w:rsidP="004877F2">
            <w:pPr>
              <w:jc w:val="right"/>
              <w:rPr>
                <w:rFonts w:cstheme="minorHAnsi"/>
                <w:color w:val="000000"/>
                <w:sz w:val="16"/>
                <w:szCs w:val="16"/>
              </w:rPr>
            </w:pPr>
            <w:r w:rsidRPr="00066710">
              <w:rPr>
                <w:color w:val="000000"/>
                <w:sz w:val="16"/>
              </w:rPr>
              <w:t>0.3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66E85DA" w14:textId="77777777" w:rsidR="00286810" w:rsidRPr="00066710" w:rsidRDefault="00286810" w:rsidP="004877F2">
            <w:pPr>
              <w:jc w:val="right"/>
              <w:rPr>
                <w:rFonts w:cstheme="minorHAnsi"/>
                <w:color w:val="000000"/>
                <w:sz w:val="16"/>
                <w:szCs w:val="16"/>
              </w:rPr>
            </w:pPr>
            <w:r w:rsidRPr="00066710">
              <w:rPr>
                <w:color w:val="000000"/>
                <w:sz w:val="16"/>
              </w:rPr>
              <w:t>703.4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911D5BC" w14:textId="77777777" w:rsidR="00286810" w:rsidRPr="00066710" w:rsidRDefault="00286810" w:rsidP="004877F2">
            <w:pPr>
              <w:jc w:val="right"/>
              <w:rPr>
                <w:rFonts w:cstheme="minorHAnsi"/>
                <w:color w:val="000000"/>
                <w:sz w:val="16"/>
                <w:szCs w:val="16"/>
              </w:rPr>
            </w:pPr>
            <w:r w:rsidRPr="00066710">
              <w:rPr>
                <w:color w:val="000000"/>
                <w:sz w:val="16"/>
              </w:rPr>
              <w:t>4,055.4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C416975" w14:textId="77777777" w:rsidR="00286810" w:rsidRPr="00066710" w:rsidRDefault="00286810" w:rsidP="004877F2">
            <w:pPr>
              <w:jc w:val="right"/>
              <w:rPr>
                <w:rFonts w:cstheme="minorHAnsi"/>
                <w:color w:val="000000"/>
                <w:sz w:val="16"/>
                <w:szCs w:val="16"/>
              </w:rPr>
            </w:pPr>
            <w:r w:rsidRPr="00066710">
              <w:rPr>
                <w:color w:val="000000"/>
                <w:sz w:val="16"/>
              </w:rPr>
              <w:t>476.6</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779761"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F7310B" w14:textId="77777777" w:rsidR="00286810" w:rsidRPr="00066710" w:rsidRDefault="00286810" w:rsidP="004877F2">
            <w:pPr>
              <w:jc w:val="right"/>
              <w:rPr>
                <w:rFonts w:cstheme="minorHAnsi"/>
                <w:color w:val="000000"/>
                <w:sz w:val="16"/>
                <w:szCs w:val="16"/>
              </w:rPr>
            </w:pPr>
            <w:r w:rsidRPr="00066710">
              <w:rPr>
                <w:color w:val="000000"/>
                <w:sz w:val="16"/>
              </w:rPr>
              <w:t>3,750.4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212D71" w14:textId="77777777" w:rsidR="00286810" w:rsidRPr="00066710" w:rsidRDefault="00286810" w:rsidP="004877F2">
            <w:pPr>
              <w:jc w:val="right"/>
              <w:rPr>
                <w:rFonts w:cstheme="minorHAnsi"/>
                <w:color w:val="000000"/>
                <w:sz w:val="16"/>
                <w:szCs w:val="16"/>
              </w:rPr>
            </w:pPr>
            <w:r w:rsidRPr="00066710">
              <w:rPr>
                <w:color w:val="000000"/>
                <w:sz w:val="16"/>
              </w:rPr>
              <w:t>517.5</w:t>
            </w:r>
          </w:p>
        </w:tc>
        <w:tc>
          <w:tcPr>
            <w:tcW w:w="670" w:type="dxa"/>
            <w:tcBorders>
              <w:top w:val="nil"/>
              <w:left w:val="nil"/>
              <w:bottom w:val="single" w:sz="4" w:space="0" w:color="FFFFFF" w:themeColor="background1"/>
              <w:right w:val="nil"/>
            </w:tcBorders>
            <w:shd w:val="clear" w:color="auto" w:fill="auto"/>
            <w:noWrap/>
            <w:vAlign w:val="bottom"/>
            <w:hideMark/>
          </w:tcPr>
          <w:p w14:paraId="4BD9159A" w14:textId="77777777" w:rsidR="00286810" w:rsidRPr="00066710" w:rsidRDefault="00286810" w:rsidP="004877F2">
            <w:pPr>
              <w:jc w:val="right"/>
              <w:rPr>
                <w:rFonts w:cstheme="minorHAnsi"/>
                <w:color w:val="000000"/>
                <w:sz w:val="16"/>
                <w:szCs w:val="16"/>
              </w:rPr>
            </w:pPr>
            <w:r w:rsidRPr="00066710">
              <w:rPr>
                <w:color w:val="000000"/>
                <w:sz w:val="16"/>
              </w:rPr>
              <w:t>-86.2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21E8EB5" w14:textId="77777777" w:rsidR="00286810" w:rsidRPr="00066710" w:rsidRDefault="00286810" w:rsidP="004877F2">
            <w:pPr>
              <w:jc w:val="right"/>
              <w:rPr>
                <w:rFonts w:cstheme="minorHAnsi"/>
                <w:color w:val="000000"/>
                <w:sz w:val="16"/>
                <w:szCs w:val="16"/>
              </w:rPr>
            </w:pPr>
            <w:r w:rsidRPr="00066710">
              <w:rPr>
                <w:color w:val="000000"/>
                <w:sz w:val="16"/>
              </w:rPr>
              <w:t>12.8</w:t>
            </w:r>
          </w:p>
        </w:tc>
      </w:tr>
      <w:tr w:rsidR="00286810" w:rsidRPr="00066710" w14:paraId="56487D6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5EDA3CC" w14:textId="77777777" w:rsidR="00286810" w:rsidRPr="00066710" w:rsidRDefault="00286810" w:rsidP="004877F2">
            <w:pPr>
              <w:rPr>
                <w:rFonts w:cstheme="minorHAnsi"/>
                <w:color w:val="000000"/>
                <w:sz w:val="16"/>
                <w:szCs w:val="16"/>
              </w:rPr>
            </w:pPr>
            <w:r w:rsidRPr="00066710">
              <w:rPr>
                <w:color w:val="000000"/>
                <w:sz w:val="16"/>
              </w:rPr>
              <w:t>Ghana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8B1BD53"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5B8E881"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1BC5E0C" w14:textId="77777777" w:rsidR="00286810" w:rsidRPr="00066710" w:rsidRDefault="00286810" w:rsidP="004877F2">
            <w:pPr>
              <w:jc w:val="right"/>
              <w:rPr>
                <w:rFonts w:cstheme="minorHAnsi"/>
                <w:color w:val="000000"/>
                <w:sz w:val="16"/>
                <w:szCs w:val="16"/>
              </w:rPr>
            </w:pPr>
            <w:r w:rsidRPr="00066710">
              <w:rPr>
                <w:color w:val="000000"/>
                <w:sz w:val="16"/>
              </w:rPr>
              <w:t>2.9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270F39C" w14:textId="77777777" w:rsidR="00286810" w:rsidRPr="00066710" w:rsidRDefault="00286810" w:rsidP="004877F2">
            <w:pPr>
              <w:jc w:val="right"/>
              <w:rPr>
                <w:rFonts w:cstheme="minorHAnsi"/>
                <w:color w:val="000000"/>
                <w:sz w:val="16"/>
                <w:szCs w:val="16"/>
              </w:rPr>
            </w:pPr>
            <w:r w:rsidRPr="00066710">
              <w:rPr>
                <w:color w:val="000000"/>
                <w:sz w:val="16"/>
              </w:rPr>
              <w:t>1,590.2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3E8E4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E3FA46" w14:textId="77777777" w:rsidR="00286810" w:rsidRPr="00066710" w:rsidRDefault="00286810" w:rsidP="004877F2">
            <w:pPr>
              <w:jc w:val="right"/>
              <w:rPr>
                <w:rFonts w:cstheme="minorHAnsi"/>
                <w:color w:val="000000"/>
                <w:sz w:val="16"/>
                <w:szCs w:val="16"/>
              </w:rPr>
            </w:pPr>
            <w:r w:rsidRPr="00066710">
              <w:rPr>
                <w:color w:val="000000"/>
                <w:sz w:val="16"/>
              </w:rPr>
              <w:t>533.5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054524" w14:textId="77777777" w:rsidR="00286810" w:rsidRPr="00066710" w:rsidRDefault="00286810" w:rsidP="004877F2">
            <w:pPr>
              <w:jc w:val="right"/>
              <w:rPr>
                <w:rFonts w:cstheme="minorHAnsi"/>
                <w:color w:val="000000"/>
                <w:sz w:val="16"/>
                <w:szCs w:val="16"/>
              </w:rPr>
            </w:pPr>
            <w:r w:rsidRPr="00066710">
              <w:rPr>
                <w:color w:val="000000"/>
                <w:sz w:val="16"/>
              </w:rPr>
              <w:t>430.0</w:t>
            </w:r>
          </w:p>
        </w:tc>
        <w:tc>
          <w:tcPr>
            <w:tcW w:w="670" w:type="dxa"/>
            <w:tcBorders>
              <w:top w:val="nil"/>
              <w:left w:val="nil"/>
              <w:bottom w:val="single" w:sz="4" w:space="0" w:color="FFFFFF" w:themeColor="background1"/>
              <w:right w:val="nil"/>
            </w:tcBorders>
            <w:shd w:val="clear" w:color="auto" w:fill="auto"/>
            <w:noWrap/>
            <w:vAlign w:val="bottom"/>
            <w:hideMark/>
          </w:tcPr>
          <w:p w14:paraId="6A3A5DA0" w14:textId="77777777" w:rsidR="00286810" w:rsidRPr="00066710" w:rsidRDefault="00286810" w:rsidP="004877F2">
            <w:pPr>
              <w:jc w:val="right"/>
              <w:rPr>
                <w:rFonts w:cstheme="minorHAnsi"/>
                <w:color w:val="000000"/>
                <w:sz w:val="16"/>
                <w:szCs w:val="16"/>
              </w:rPr>
            </w:pPr>
            <w:r w:rsidRPr="00066710">
              <w:rPr>
                <w:color w:val="000000"/>
                <w:sz w:val="16"/>
              </w:rPr>
              <w:t>-19.4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26C460" w14:textId="77777777" w:rsidR="00286810" w:rsidRPr="00066710" w:rsidRDefault="00286810" w:rsidP="004877F2">
            <w:pPr>
              <w:jc w:val="right"/>
              <w:rPr>
                <w:rFonts w:cstheme="minorHAnsi"/>
                <w:color w:val="000000"/>
                <w:sz w:val="16"/>
                <w:szCs w:val="16"/>
              </w:rPr>
            </w:pPr>
            <w:r w:rsidRPr="00066710">
              <w:rPr>
                <w:color w:val="000000"/>
                <w:sz w:val="16"/>
              </w:rPr>
              <w:t>14,622.3</w:t>
            </w:r>
          </w:p>
        </w:tc>
      </w:tr>
      <w:tr w:rsidR="00286810" w:rsidRPr="00066710" w14:paraId="6A7FFDA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5FEB84C" w14:textId="77777777" w:rsidR="00286810" w:rsidRPr="00066710" w:rsidRDefault="00286810" w:rsidP="004877F2">
            <w:pPr>
              <w:rPr>
                <w:rFonts w:cstheme="minorHAnsi"/>
                <w:color w:val="000000"/>
                <w:sz w:val="16"/>
                <w:szCs w:val="16"/>
              </w:rPr>
            </w:pPr>
            <w:r w:rsidRPr="00066710">
              <w:rPr>
                <w:color w:val="000000"/>
                <w:sz w:val="16"/>
              </w:rPr>
              <w:lastRenderedPageBreak/>
              <w:t>Guinea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7F10F1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5DC597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160227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016DD9C"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40943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830D6D" w14:textId="77777777" w:rsidR="00286810" w:rsidRPr="00066710" w:rsidRDefault="00286810" w:rsidP="004877F2">
            <w:pPr>
              <w:jc w:val="right"/>
              <w:rPr>
                <w:rFonts w:cstheme="minorHAnsi"/>
                <w:color w:val="000000"/>
                <w:sz w:val="16"/>
                <w:szCs w:val="16"/>
              </w:rPr>
            </w:pPr>
            <w:r w:rsidRPr="00066710">
              <w:rPr>
                <w:color w:val="000000"/>
                <w:sz w:val="16"/>
              </w:rPr>
              <w:t>332.2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A6C359" w14:textId="77777777" w:rsidR="00286810" w:rsidRPr="00066710" w:rsidRDefault="00286810" w:rsidP="004877F2">
            <w:pPr>
              <w:jc w:val="right"/>
              <w:rPr>
                <w:rFonts w:cstheme="minorHAnsi"/>
                <w:color w:val="000000"/>
                <w:sz w:val="16"/>
                <w:szCs w:val="16"/>
              </w:rPr>
            </w:pPr>
            <w:r w:rsidRPr="00066710">
              <w:rPr>
                <w:color w:val="000000"/>
                <w:sz w:val="16"/>
              </w:rPr>
              <w:t>423.7</w:t>
            </w:r>
          </w:p>
        </w:tc>
        <w:tc>
          <w:tcPr>
            <w:tcW w:w="670" w:type="dxa"/>
            <w:tcBorders>
              <w:top w:val="nil"/>
              <w:left w:val="nil"/>
              <w:bottom w:val="single" w:sz="4" w:space="0" w:color="FFFFFF" w:themeColor="background1"/>
              <w:right w:val="nil"/>
            </w:tcBorders>
            <w:shd w:val="clear" w:color="auto" w:fill="auto"/>
            <w:noWrap/>
            <w:vAlign w:val="bottom"/>
            <w:hideMark/>
          </w:tcPr>
          <w:p w14:paraId="1EA10261" w14:textId="77777777" w:rsidR="00286810" w:rsidRPr="00066710" w:rsidRDefault="00286810" w:rsidP="004877F2">
            <w:pPr>
              <w:jc w:val="right"/>
              <w:rPr>
                <w:rFonts w:cstheme="minorHAnsi"/>
                <w:color w:val="000000"/>
                <w:sz w:val="16"/>
                <w:szCs w:val="16"/>
              </w:rPr>
            </w:pPr>
            <w:r w:rsidRPr="00066710">
              <w:rPr>
                <w:color w:val="000000"/>
                <w:sz w:val="16"/>
              </w:rPr>
              <w:t>27.6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1E50866" w14:textId="77777777" w:rsidR="00286810" w:rsidRPr="00066710" w:rsidRDefault="00286810" w:rsidP="004877F2">
            <w:pPr>
              <w:jc w:val="right"/>
              <w:rPr>
                <w:rFonts w:cstheme="minorHAnsi"/>
                <w:color w:val="000000"/>
                <w:sz w:val="16"/>
                <w:szCs w:val="16"/>
              </w:rPr>
            </w:pPr>
            <w:r w:rsidRPr="00066710">
              <w:rPr>
                <w:color w:val="000000"/>
                <w:sz w:val="16"/>
              </w:rPr>
              <w:t>14,124,200.0</w:t>
            </w:r>
          </w:p>
        </w:tc>
      </w:tr>
      <w:tr w:rsidR="00286810" w:rsidRPr="00066710" w14:paraId="00259C4C"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B31FBC1" w14:textId="77777777" w:rsidR="00286810" w:rsidRPr="00066710" w:rsidRDefault="00286810" w:rsidP="004877F2">
            <w:pPr>
              <w:rPr>
                <w:rFonts w:cstheme="minorHAnsi"/>
                <w:color w:val="000000"/>
                <w:sz w:val="16"/>
                <w:szCs w:val="16"/>
              </w:rPr>
            </w:pPr>
            <w:r w:rsidRPr="00066710">
              <w:rPr>
                <w:color w:val="000000"/>
                <w:sz w:val="16"/>
              </w:rPr>
              <w:t>Georgia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793F50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22BE62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92A6E5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BD7F491"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CE4D4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772DCD" w14:textId="77777777" w:rsidR="00286810" w:rsidRPr="00066710" w:rsidRDefault="00286810" w:rsidP="004877F2">
            <w:pPr>
              <w:jc w:val="right"/>
              <w:rPr>
                <w:rFonts w:cstheme="minorHAnsi"/>
                <w:color w:val="000000"/>
                <w:sz w:val="16"/>
                <w:szCs w:val="16"/>
              </w:rPr>
            </w:pPr>
            <w:r w:rsidRPr="00066710">
              <w:rPr>
                <w:color w:val="000000"/>
                <w:sz w:val="16"/>
              </w:rPr>
              <w:t>120.5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24F43B" w14:textId="77777777" w:rsidR="00286810" w:rsidRPr="00066710" w:rsidRDefault="00286810" w:rsidP="004877F2">
            <w:pPr>
              <w:jc w:val="right"/>
              <w:rPr>
                <w:rFonts w:cstheme="minorHAnsi"/>
                <w:color w:val="000000"/>
                <w:sz w:val="16"/>
                <w:szCs w:val="16"/>
              </w:rPr>
            </w:pPr>
            <w:r w:rsidRPr="00066710">
              <w:rPr>
                <w:color w:val="000000"/>
                <w:sz w:val="16"/>
              </w:rPr>
              <w:t>349.1</w:t>
            </w:r>
          </w:p>
        </w:tc>
        <w:tc>
          <w:tcPr>
            <w:tcW w:w="670" w:type="dxa"/>
            <w:tcBorders>
              <w:top w:val="nil"/>
              <w:left w:val="nil"/>
              <w:bottom w:val="single" w:sz="4" w:space="0" w:color="FFFFFF" w:themeColor="background1"/>
              <w:right w:val="nil"/>
            </w:tcBorders>
            <w:shd w:val="clear" w:color="auto" w:fill="auto"/>
            <w:noWrap/>
            <w:vAlign w:val="bottom"/>
            <w:hideMark/>
          </w:tcPr>
          <w:p w14:paraId="0ABA3E59" w14:textId="77777777" w:rsidR="00286810" w:rsidRPr="00066710" w:rsidRDefault="00286810" w:rsidP="004877F2">
            <w:pPr>
              <w:jc w:val="right"/>
              <w:rPr>
                <w:rFonts w:cstheme="minorHAnsi"/>
                <w:color w:val="000000"/>
                <w:sz w:val="16"/>
                <w:szCs w:val="16"/>
              </w:rPr>
            </w:pPr>
            <w:r w:rsidRPr="00066710">
              <w:rPr>
                <w:color w:val="000000"/>
                <w:sz w:val="16"/>
              </w:rPr>
              <w:t>189.7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5F697AD"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298BBC2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DE9B7EC" w14:textId="77777777" w:rsidR="00286810" w:rsidRPr="00066710" w:rsidRDefault="00286810" w:rsidP="004877F2">
            <w:pPr>
              <w:rPr>
                <w:rFonts w:cstheme="minorHAnsi"/>
                <w:color w:val="000000"/>
                <w:sz w:val="16"/>
                <w:szCs w:val="16"/>
              </w:rPr>
            </w:pPr>
            <w:r w:rsidRPr="00066710">
              <w:rPr>
                <w:color w:val="000000"/>
                <w:sz w:val="16"/>
              </w:rPr>
              <w:t>Indonesia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41A7EF" w14:textId="77777777" w:rsidR="00286810" w:rsidRPr="00066710" w:rsidRDefault="00286810" w:rsidP="004877F2">
            <w:pPr>
              <w:jc w:val="right"/>
              <w:rPr>
                <w:rFonts w:cstheme="minorHAnsi"/>
                <w:color w:val="000000"/>
                <w:sz w:val="16"/>
                <w:szCs w:val="16"/>
              </w:rPr>
            </w:pPr>
            <w:r w:rsidRPr="00066710">
              <w:rPr>
                <w:color w:val="000000"/>
                <w:sz w:val="16"/>
              </w:rPr>
              <w:t>4.5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3D463D3" w14:textId="77777777" w:rsidR="00286810" w:rsidRPr="00066710" w:rsidRDefault="00286810" w:rsidP="004877F2">
            <w:pPr>
              <w:jc w:val="right"/>
              <w:rPr>
                <w:rFonts w:cstheme="minorHAnsi"/>
                <w:color w:val="000000"/>
                <w:sz w:val="16"/>
                <w:szCs w:val="16"/>
              </w:rPr>
            </w:pPr>
            <w:r w:rsidRPr="00066710">
              <w:rPr>
                <w:color w:val="000000"/>
                <w:sz w:val="16"/>
              </w:rPr>
              <w:t>44,124.0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60673FD" w14:textId="77777777" w:rsidR="00286810" w:rsidRPr="00066710" w:rsidRDefault="00286810" w:rsidP="004877F2">
            <w:pPr>
              <w:jc w:val="right"/>
              <w:rPr>
                <w:rFonts w:cstheme="minorHAnsi"/>
                <w:color w:val="000000"/>
                <w:sz w:val="16"/>
                <w:szCs w:val="16"/>
              </w:rPr>
            </w:pPr>
            <w:r w:rsidRPr="00066710">
              <w:rPr>
                <w:color w:val="000000"/>
                <w:sz w:val="16"/>
              </w:rPr>
              <w:t>66,695.0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09C7EB0" w14:textId="77777777" w:rsidR="00286810" w:rsidRPr="00066710" w:rsidRDefault="00286810" w:rsidP="004877F2">
            <w:pPr>
              <w:jc w:val="right"/>
              <w:rPr>
                <w:rFonts w:cstheme="minorHAnsi"/>
                <w:color w:val="000000"/>
                <w:sz w:val="16"/>
                <w:szCs w:val="16"/>
              </w:rPr>
            </w:pPr>
            <w:r w:rsidRPr="00066710">
              <w:rPr>
                <w:color w:val="000000"/>
                <w:sz w:val="16"/>
              </w:rPr>
              <w:t>51.2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B4EE3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24A53A" w14:textId="77777777" w:rsidR="00286810" w:rsidRPr="00066710" w:rsidRDefault="00286810" w:rsidP="004877F2">
            <w:pPr>
              <w:jc w:val="right"/>
              <w:rPr>
                <w:rFonts w:cstheme="minorHAnsi"/>
                <w:color w:val="000000"/>
                <w:sz w:val="16"/>
                <w:szCs w:val="16"/>
              </w:rPr>
            </w:pPr>
            <w:r w:rsidRPr="00066710">
              <w:rPr>
                <w:color w:val="000000"/>
                <w:sz w:val="16"/>
              </w:rPr>
              <w:t>238.7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E380B5" w14:textId="77777777" w:rsidR="00286810" w:rsidRPr="00066710" w:rsidRDefault="00286810" w:rsidP="004877F2">
            <w:pPr>
              <w:jc w:val="right"/>
              <w:rPr>
                <w:rFonts w:cstheme="minorHAnsi"/>
                <w:color w:val="000000"/>
                <w:sz w:val="16"/>
                <w:szCs w:val="16"/>
              </w:rPr>
            </w:pPr>
            <w:r w:rsidRPr="00066710">
              <w:rPr>
                <w:color w:val="000000"/>
                <w:sz w:val="16"/>
              </w:rPr>
              <w:t>291.8</w:t>
            </w:r>
          </w:p>
        </w:tc>
        <w:tc>
          <w:tcPr>
            <w:tcW w:w="670" w:type="dxa"/>
            <w:tcBorders>
              <w:top w:val="nil"/>
              <w:left w:val="nil"/>
              <w:bottom w:val="single" w:sz="4" w:space="0" w:color="FFFFFF" w:themeColor="background1"/>
              <w:right w:val="nil"/>
            </w:tcBorders>
            <w:shd w:val="clear" w:color="auto" w:fill="auto"/>
            <w:noWrap/>
            <w:vAlign w:val="bottom"/>
            <w:hideMark/>
          </w:tcPr>
          <w:p w14:paraId="38CD630A" w14:textId="77777777" w:rsidR="00286810" w:rsidRPr="00066710" w:rsidRDefault="00286810" w:rsidP="004877F2">
            <w:pPr>
              <w:jc w:val="right"/>
              <w:rPr>
                <w:rFonts w:cstheme="minorHAnsi"/>
                <w:color w:val="000000"/>
                <w:sz w:val="16"/>
                <w:szCs w:val="16"/>
              </w:rPr>
            </w:pPr>
            <w:r w:rsidRPr="00066710">
              <w:rPr>
                <w:color w:val="000000"/>
                <w:sz w:val="16"/>
              </w:rPr>
              <w:t>22.2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5D54D1" w14:textId="77777777" w:rsidR="00286810" w:rsidRPr="00066710" w:rsidRDefault="00286810" w:rsidP="004877F2">
            <w:pPr>
              <w:jc w:val="right"/>
              <w:rPr>
                <w:rFonts w:cstheme="minorHAnsi"/>
                <w:color w:val="000000"/>
                <w:sz w:val="16"/>
                <w:szCs w:val="16"/>
              </w:rPr>
            </w:pPr>
            <w:r w:rsidRPr="00066710">
              <w:rPr>
                <w:color w:val="000000"/>
                <w:sz w:val="16"/>
              </w:rPr>
              <w:t>0.4</w:t>
            </w:r>
          </w:p>
        </w:tc>
      </w:tr>
      <w:tr w:rsidR="00286810" w:rsidRPr="00066710" w14:paraId="73B47BEE"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0BD0E89" w14:textId="77777777" w:rsidR="00286810" w:rsidRPr="00066710" w:rsidRDefault="00286810" w:rsidP="004877F2">
            <w:pPr>
              <w:rPr>
                <w:rFonts w:cstheme="minorHAnsi"/>
                <w:color w:val="000000"/>
                <w:sz w:val="16"/>
                <w:szCs w:val="16"/>
              </w:rPr>
            </w:pPr>
            <w:r w:rsidRPr="00066710">
              <w:rPr>
                <w:color w:val="000000"/>
                <w:sz w:val="16"/>
              </w:rPr>
              <w:t>Qatar</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FE381B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5F47C0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F47395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A6F90F4"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18AC0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8C0B50" w14:textId="77777777" w:rsidR="00286810" w:rsidRPr="00066710" w:rsidRDefault="00286810" w:rsidP="004877F2">
            <w:pPr>
              <w:jc w:val="right"/>
              <w:rPr>
                <w:rFonts w:cstheme="minorHAnsi"/>
                <w:color w:val="000000"/>
                <w:sz w:val="16"/>
                <w:szCs w:val="16"/>
              </w:rPr>
            </w:pPr>
            <w:r w:rsidRPr="00066710">
              <w:rPr>
                <w:color w:val="000000"/>
                <w:sz w:val="16"/>
              </w:rPr>
              <w:t>688.7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9AF18E" w14:textId="77777777" w:rsidR="00286810" w:rsidRPr="00066710" w:rsidRDefault="00286810" w:rsidP="004877F2">
            <w:pPr>
              <w:jc w:val="right"/>
              <w:rPr>
                <w:rFonts w:cstheme="minorHAnsi"/>
                <w:color w:val="000000"/>
                <w:sz w:val="16"/>
                <w:szCs w:val="16"/>
              </w:rPr>
            </w:pPr>
            <w:r w:rsidRPr="00066710">
              <w:rPr>
                <w:color w:val="000000"/>
                <w:sz w:val="16"/>
              </w:rPr>
              <w:t>288.5</w:t>
            </w:r>
          </w:p>
        </w:tc>
        <w:tc>
          <w:tcPr>
            <w:tcW w:w="670" w:type="dxa"/>
            <w:tcBorders>
              <w:top w:val="nil"/>
              <w:left w:val="nil"/>
              <w:bottom w:val="single" w:sz="4" w:space="0" w:color="FFFFFF" w:themeColor="background1"/>
              <w:right w:val="nil"/>
            </w:tcBorders>
            <w:shd w:val="clear" w:color="auto" w:fill="auto"/>
            <w:noWrap/>
            <w:vAlign w:val="bottom"/>
            <w:hideMark/>
          </w:tcPr>
          <w:p w14:paraId="0C3180DF" w14:textId="77777777" w:rsidR="00286810" w:rsidRPr="00066710" w:rsidRDefault="00286810" w:rsidP="004877F2">
            <w:pPr>
              <w:jc w:val="right"/>
              <w:rPr>
                <w:rFonts w:cstheme="minorHAnsi"/>
                <w:color w:val="000000"/>
                <w:sz w:val="16"/>
                <w:szCs w:val="16"/>
              </w:rPr>
            </w:pPr>
            <w:r w:rsidRPr="00066710">
              <w:rPr>
                <w:color w:val="000000"/>
                <w:sz w:val="16"/>
              </w:rPr>
              <w:t>-58.1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229ABE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52A1783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E035072" w14:textId="77777777" w:rsidR="00286810" w:rsidRPr="00066710" w:rsidRDefault="00286810" w:rsidP="004877F2">
            <w:pPr>
              <w:rPr>
                <w:rFonts w:cstheme="minorHAnsi"/>
                <w:color w:val="000000"/>
                <w:sz w:val="16"/>
                <w:szCs w:val="16"/>
              </w:rPr>
            </w:pPr>
            <w:r w:rsidRPr="00066710">
              <w:rPr>
                <w:color w:val="000000"/>
                <w:sz w:val="16"/>
              </w:rPr>
              <w:t>Russia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032105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BA994DF" w14:textId="77777777" w:rsidR="00286810" w:rsidRPr="00066710" w:rsidRDefault="00286810" w:rsidP="004877F2">
            <w:pPr>
              <w:jc w:val="right"/>
              <w:rPr>
                <w:rFonts w:cstheme="minorHAnsi"/>
                <w:color w:val="000000"/>
                <w:sz w:val="16"/>
                <w:szCs w:val="16"/>
              </w:rPr>
            </w:pPr>
            <w:r w:rsidRPr="00066710">
              <w:rPr>
                <w:color w:val="000000"/>
                <w:sz w:val="16"/>
              </w:rPr>
              <w:t>59.3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3C122D9" w14:textId="77777777" w:rsidR="00286810" w:rsidRPr="00066710" w:rsidRDefault="00286810" w:rsidP="004877F2">
            <w:pPr>
              <w:jc w:val="right"/>
              <w:rPr>
                <w:rFonts w:cstheme="minorHAnsi"/>
                <w:color w:val="000000"/>
                <w:sz w:val="16"/>
                <w:szCs w:val="16"/>
              </w:rPr>
            </w:pPr>
            <w:r w:rsidRPr="00066710">
              <w:rPr>
                <w:color w:val="000000"/>
                <w:sz w:val="16"/>
              </w:rPr>
              <w:t>180.0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362D825" w14:textId="77777777" w:rsidR="00286810" w:rsidRPr="00066710" w:rsidRDefault="00286810" w:rsidP="004877F2">
            <w:pPr>
              <w:jc w:val="right"/>
              <w:rPr>
                <w:rFonts w:cstheme="minorHAnsi"/>
                <w:color w:val="000000"/>
                <w:sz w:val="16"/>
                <w:szCs w:val="16"/>
              </w:rPr>
            </w:pPr>
            <w:r w:rsidRPr="00066710">
              <w:rPr>
                <w:color w:val="000000"/>
                <w:sz w:val="16"/>
              </w:rPr>
              <w:t>203.3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0AB9D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8841FF" w14:textId="77777777" w:rsidR="00286810" w:rsidRPr="00066710" w:rsidRDefault="00286810" w:rsidP="004877F2">
            <w:pPr>
              <w:jc w:val="right"/>
              <w:rPr>
                <w:rFonts w:cstheme="minorHAnsi"/>
                <w:color w:val="000000"/>
                <w:sz w:val="16"/>
                <w:szCs w:val="16"/>
              </w:rPr>
            </w:pPr>
            <w:r w:rsidRPr="00066710">
              <w:rPr>
                <w:color w:val="000000"/>
                <w:sz w:val="16"/>
              </w:rPr>
              <w:t>887.7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58CC20" w14:textId="77777777" w:rsidR="00286810" w:rsidRPr="00066710" w:rsidRDefault="00286810" w:rsidP="004877F2">
            <w:pPr>
              <w:jc w:val="right"/>
              <w:rPr>
                <w:rFonts w:cstheme="minorHAnsi"/>
                <w:color w:val="000000"/>
                <w:sz w:val="16"/>
                <w:szCs w:val="16"/>
              </w:rPr>
            </w:pPr>
            <w:r w:rsidRPr="00066710">
              <w:rPr>
                <w:color w:val="000000"/>
                <w:sz w:val="16"/>
              </w:rPr>
              <w:t>277.9</w:t>
            </w:r>
          </w:p>
        </w:tc>
        <w:tc>
          <w:tcPr>
            <w:tcW w:w="670" w:type="dxa"/>
            <w:tcBorders>
              <w:top w:val="nil"/>
              <w:left w:val="nil"/>
              <w:bottom w:val="single" w:sz="4" w:space="0" w:color="FFFFFF" w:themeColor="background1"/>
              <w:right w:val="nil"/>
            </w:tcBorders>
            <w:shd w:val="clear" w:color="auto" w:fill="auto"/>
            <w:noWrap/>
            <w:vAlign w:val="bottom"/>
            <w:hideMark/>
          </w:tcPr>
          <w:p w14:paraId="079BB52E" w14:textId="77777777" w:rsidR="00286810" w:rsidRPr="00066710" w:rsidRDefault="00286810" w:rsidP="004877F2">
            <w:pPr>
              <w:jc w:val="right"/>
              <w:rPr>
                <w:rFonts w:cstheme="minorHAnsi"/>
                <w:color w:val="000000"/>
                <w:sz w:val="16"/>
                <w:szCs w:val="16"/>
              </w:rPr>
            </w:pPr>
            <w:r w:rsidRPr="00066710">
              <w:rPr>
                <w:color w:val="000000"/>
                <w:sz w:val="16"/>
              </w:rPr>
              <w:t>-68.7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B82591C" w14:textId="77777777" w:rsidR="00286810" w:rsidRPr="00066710" w:rsidRDefault="00286810" w:rsidP="004877F2">
            <w:pPr>
              <w:jc w:val="right"/>
              <w:rPr>
                <w:rFonts w:cstheme="minorHAnsi"/>
                <w:color w:val="000000"/>
                <w:sz w:val="16"/>
                <w:szCs w:val="16"/>
              </w:rPr>
            </w:pPr>
            <w:r w:rsidRPr="00066710">
              <w:rPr>
                <w:color w:val="000000"/>
                <w:sz w:val="16"/>
              </w:rPr>
              <w:t>154.4</w:t>
            </w:r>
          </w:p>
        </w:tc>
      </w:tr>
      <w:tr w:rsidR="00286810" w:rsidRPr="00066710" w14:paraId="5EEE762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78E99C0" w14:textId="77777777" w:rsidR="00286810" w:rsidRPr="00066710" w:rsidRDefault="00286810" w:rsidP="004877F2">
            <w:pPr>
              <w:rPr>
                <w:rFonts w:cstheme="minorHAnsi"/>
                <w:color w:val="000000"/>
                <w:sz w:val="16"/>
                <w:szCs w:val="16"/>
              </w:rPr>
            </w:pPr>
            <w:r w:rsidRPr="00066710">
              <w:rPr>
                <w:color w:val="000000"/>
                <w:sz w:val="16"/>
              </w:rPr>
              <w:t>Turkey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4AD0934" w14:textId="77777777" w:rsidR="00286810" w:rsidRPr="00066710" w:rsidRDefault="00286810" w:rsidP="004877F2">
            <w:pPr>
              <w:jc w:val="right"/>
              <w:rPr>
                <w:rFonts w:cstheme="minorHAnsi"/>
                <w:color w:val="000000"/>
                <w:sz w:val="16"/>
                <w:szCs w:val="16"/>
              </w:rPr>
            </w:pPr>
            <w:r w:rsidRPr="00066710">
              <w:rPr>
                <w:color w:val="000000"/>
                <w:sz w:val="16"/>
              </w:rPr>
              <w:t>3.6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D470169" w14:textId="77777777" w:rsidR="00286810" w:rsidRPr="00066710" w:rsidRDefault="00286810" w:rsidP="004877F2">
            <w:pPr>
              <w:jc w:val="right"/>
              <w:rPr>
                <w:rFonts w:cstheme="minorHAnsi"/>
                <w:color w:val="000000"/>
                <w:sz w:val="16"/>
                <w:szCs w:val="16"/>
              </w:rPr>
            </w:pPr>
            <w:r w:rsidRPr="00066710">
              <w:rPr>
                <w:color w:val="000000"/>
                <w:sz w:val="16"/>
              </w:rPr>
              <w:t>55,661.9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80DD3BC" w14:textId="77777777" w:rsidR="00286810" w:rsidRPr="00066710" w:rsidRDefault="00286810" w:rsidP="004877F2">
            <w:pPr>
              <w:jc w:val="right"/>
              <w:rPr>
                <w:rFonts w:cstheme="minorHAnsi"/>
                <w:color w:val="000000"/>
                <w:sz w:val="16"/>
                <w:szCs w:val="16"/>
              </w:rPr>
            </w:pPr>
            <w:r w:rsidRPr="00066710">
              <w:rPr>
                <w:color w:val="000000"/>
                <w:sz w:val="16"/>
              </w:rPr>
              <w:t>53,455.7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580D526" w14:textId="77777777" w:rsidR="00286810" w:rsidRPr="00066710" w:rsidRDefault="00286810" w:rsidP="004877F2">
            <w:pPr>
              <w:jc w:val="right"/>
              <w:rPr>
                <w:rFonts w:cstheme="minorHAnsi"/>
                <w:color w:val="000000"/>
                <w:sz w:val="16"/>
                <w:szCs w:val="16"/>
              </w:rPr>
            </w:pPr>
            <w:r w:rsidRPr="00066710">
              <w:rPr>
                <w:color w:val="000000"/>
                <w:sz w:val="16"/>
              </w:rPr>
              <w:t>-4.0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7DE46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B015D7" w14:textId="77777777" w:rsidR="00286810" w:rsidRPr="00066710" w:rsidRDefault="00286810" w:rsidP="004877F2">
            <w:pPr>
              <w:jc w:val="right"/>
              <w:rPr>
                <w:rFonts w:cstheme="minorHAnsi"/>
                <w:color w:val="000000"/>
                <w:sz w:val="16"/>
                <w:szCs w:val="16"/>
              </w:rPr>
            </w:pPr>
            <w:r w:rsidRPr="00066710">
              <w:rPr>
                <w:color w:val="000000"/>
                <w:sz w:val="16"/>
              </w:rPr>
              <w:t>408.5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42AB73" w14:textId="77777777" w:rsidR="00286810" w:rsidRPr="00066710" w:rsidRDefault="00286810" w:rsidP="004877F2">
            <w:pPr>
              <w:jc w:val="right"/>
              <w:rPr>
                <w:rFonts w:cstheme="minorHAnsi"/>
                <w:color w:val="000000"/>
                <w:sz w:val="16"/>
                <w:szCs w:val="16"/>
              </w:rPr>
            </w:pPr>
            <w:r w:rsidRPr="00066710">
              <w:rPr>
                <w:color w:val="000000"/>
                <w:sz w:val="16"/>
              </w:rPr>
              <w:t>256.7</w:t>
            </w:r>
          </w:p>
        </w:tc>
        <w:tc>
          <w:tcPr>
            <w:tcW w:w="670" w:type="dxa"/>
            <w:tcBorders>
              <w:top w:val="nil"/>
              <w:left w:val="nil"/>
              <w:bottom w:val="single" w:sz="4" w:space="0" w:color="FFFFFF" w:themeColor="background1"/>
              <w:right w:val="nil"/>
            </w:tcBorders>
            <w:shd w:val="clear" w:color="auto" w:fill="auto"/>
            <w:noWrap/>
            <w:vAlign w:val="bottom"/>
            <w:hideMark/>
          </w:tcPr>
          <w:p w14:paraId="78B84C84" w14:textId="77777777" w:rsidR="00286810" w:rsidRPr="00066710" w:rsidRDefault="00286810" w:rsidP="004877F2">
            <w:pPr>
              <w:jc w:val="right"/>
              <w:rPr>
                <w:rFonts w:cstheme="minorHAnsi"/>
                <w:color w:val="000000"/>
                <w:sz w:val="16"/>
                <w:szCs w:val="16"/>
              </w:rPr>
            </w:pPr>
            <w:r w:rsidRPr="00066710">
              <w:rPr>
                <w:color w:val="000000"/>
                <w:sz w:val="16"/>
              </w:rPr>
              <w:t>-37.2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15C59D1" w14:textId="77777777" w:rsidR="00286810" w:rsidRPr="00066710" w:rsidRDefault="00286810" w:rsidP="004877F2">
            <w:pPr>
              <w:jc w:val="right"/>
              <w:rPr>
                <w:rFonts w:cstheme="minorHAnsi"/>
                <w:color w:val="000000"/>
                <w:sz w:val="16"/>
                <w:szCs w:val="16"/>
              </w:rPr>
            </w:pPr>
            <w:r w:rsidRPr="00066710">
              <w:rPr>
                <w:color w:val="000000"/>
                <w:sz w:val="16"/>
              </w:rPr>
              <w:t>0.5</w:t>
            </w:r>
          </w:p>
        </w:tc>
      </w:tr>
      <w:tr w:rsidR="00286810" w:rsidRPr="00066710" w14:paraId="12771A1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D36833C" w14:textId="77777777" w:rsidR="00286810" w:rsidRPr="00066710" w:rsidRDefault="00286810" w:rsidP="004877F2">
            <w:pPr>
              <w:rPr>
                <w:rFonts w:cstheme="minorHAnsi"/>
                <w:color w:val="000000"/>
                <w:sz w:val="16"/>
                <w:szCs w:val="16"/>
              </w:rPr>
            </w:pPr>
            <w:r w:rsidRPr="00066710">
              <w:rPr>
                <w:color w:val="000000"/>
                <w:sz w:val="16"/>
              </w:rPr>
              <w:t>Taiwan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559E4B"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2A662B7" w14:textId="77777777" w:rsidR="00286810" w:rsidRPr="00066710" w:rsidRDefault="00286810" w:rsidP="004877F2">
            <w:pPr>
              <w:jc w:val="right"/>
              <w:rPr>
                <w:rFonts w:cstheme="minorHAnsi"/>
                <w:color w:val="000000"/>
                <w:sz w:val="16"/>
                <w:szCs w:val="16"/>
              </w:rPr>
            </w:pPr>
            <w:r w:rsidRPr="00066710">
              <w:rPr>
                <w:color w:val="000000"/>
                <w:sz w:val="16"/>
              </w:rPr>
              <w:t>1,344.1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425B430" w14:textId="77777777" w:rsidR="00286810" w:rsidRPr="00066710" w:rsidRDefault="00286810" w:rsidP="004877F2">
            <w:pPr>
              <w:jc w:val="right"/>
              <w:rPr>
                <w:rFonts w:cstheme="minorHAnsi"/>
                <w:color w:val="000000"/>
                <w:sz w:val="16"/>
                <w:szCs w:val="16"/>
              </w:rPr>
            </w:pPr>
            <w:r w:rsidRPr="00066710">
              <w:rPr>
                <w:color w:val="000000"/>
                <w:sz w:val="16"/>
              </w:rPr>
              <w:t>1,792.5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57E67A2" w14:textId="77777777" w:rsidR="00286810" w:rsidRPr="00066710" w:rsidRDefault="00286810" w:rsidP="004877F2">
            <w:pPr>
              <w:jc w:val="right"/>
              <w:rPr>
                <w:rFonts w:cstheme="minorHAnsi"/>
                <w:color w:val="000000"/>
                <w:sz w:val="16"/>
                <w:szCs w:val="16"/>
              </w:rPr>
            </w:pPr>
            <w:r w:rsidRPr="00066710">
              <w:rPr>
                <w:color w:val="000000"/>
                <w:sz w:val="16"/>
              </w:rPr>
              <w:t>33.4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5AACA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9E9E24" w14:textId="77777777" w:rsidR="00286810" w:rsidRPr="00066710" w:rsidRDefault="00286810" w:rsidP="004877F2">
            <w:pPr>
              <w:jc w:val="right"/>
              <w:rPr>
                <w:rFonts w:cstheme="minorHAnsi"/>
                <w:color w:val="000000"/>
                <w:sz w:val="16"/>
                <w:szCs w:val="16"/>
              </w:rPr>
            </w:pPr>
            <w:r w:rsidRPr="00066710">
              <w:rPr>
                <w:color w:val="000000"/>
                <w:sz w:val="16"/>
              </w:rPr>
              <w:t>575.0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25C79B" w14:textId="77777777" w:rsidR="00286810" w:rsidRPr="00066710" w:rsidRDefault="00286810" w:rsidP="004877F2">
            <w:pPr>
              <w:jc w:val="right"/>
              <w:rPr>
                <w:rFonts w:cstheme="minorHAnsi"/>
                <w:color w:val="000000"/>
                <w:sz w:val="16"/>
                <w:szCs w:val="16"/>
              </w:rPr>
            </w:pPr>
            <w:r w:rsidRPr="00066710">
              <w:rPr>
                <w:color w:val="000000"/>
                <w:sz w:val="16"/>
              </w:rPr>
              <w:t>245.2</w:t>
            </w:r>
          </w:p>
        </w:tc>
        <w:tc>
          <w:tcPr>
            <w:tcW w:w="670" w:type="dxa"/>
            <w:tcBorders>
              <w:top w:val="nil"/>
              <w:left w:val="nil"/>
              <w:bottom w:val="single" w:sz="4" w:space="0" w:color="FFFFFF" w:themeColor="background1"/>
              <w:right w:val="nil"/>
            </w:tcBorders>
            <w:shd w:val="clear" w:color="auto" w:fill="auto"/>
            <w:noWrap/>
            <w:vAlign w:val="bottom"/>
            <w:hideMark/>
          </w:tcPr>
          <w:p w14:paraId="5E67812A" w14:textId="77777777" w:rsidR="00286810" w:rsidRPr="00066710" w:rsidRDefault="00286810" w:rsidP="004877F2">
            <w:pPr>
              <w:jc w:val="right"/>
              <w:rPr>
                <w:rFonts w:cstheme="minorHAnsi"/>
                <w:color w:val="000000"/>
                <w:sz w:val="16"/>
                <w:szCs w:val="16"/>
              </w:rPr>
            </w:pPr>
            <w:r w:rsidRPr="00066710">
              <w:rPr>
                <w:color w:val="000000"/>
                <w:sz w:val="16"/>
              </w:rPr>
              <w:t>-57.4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3D30BC3" w14:textId="77777777" w:rsidR="00286810" w:rsidRPr="00066710" w:rsidRDefault="00286810" w:rsidP="004877F2">
            <w:pPr>
              <w:jc w:val="right"/>
              <w:rPr>
                <w:rFonts w:cstheme="minorHAnsi"/>
                <w:color w:val="000000"/>
                <w:sz w:val="16"/>
                <w:szCs w:val="16"/>
              </w:rPr>
            </w:pPr>
            <w:r w:rsidRPr="00066710">
              <w:rPr>
                <w:color w:val="000000"/>
                <w:sz w:val="16"/>
              </w:rPr>
              <w:t>13.7</w:t>
            </w:r>
          </w:p>
        </w:tc>
      </w:tr>
      <w:tr w:rsidR="00286810" w:rsidRPr="00066710" w14:paraId="6B7A350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E300365" w14:textId="77777777" w:rsidR="00286810" w:rsidRPr="00066710" w:rsidRDefault="00286810" w:rsidP="004877F2">
            <w:pPr>
              <w:rPr>
                <w:rFonts w:cstheme="minorHAnsi"/>
                <w:color w:val="000000"/>
                <w:sz w:val="16"/>
                <w:szCs w:val="16"/>
              </w:rPr>
            </w:pPr>
            <w:r w:rsidRPr="00066710">
              <w:rPr>
                <w:color w:val="000000"/>
                <w:sz w:val="16"/>
              </w:rPr>
              <w:t>South Africa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2FF384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41D9AC8" w14:textId="77777777" w:rsidR="00286810" w:rsidRPr="00066710" w:rsidRDefault="00286810" w:rsidP="004877F2">
            <w:pPr>
              <w:jc w:val="right"/>
              <w:rPr>
                <w:rFonts w:cstheme="minorHAnsi"/>
                <w:color w:val="000000"/>
                <w:sz w:val="16"/>
                <w:szCs w:val="16"/>
              </w:rPr>
            </w:pPr>
            <w:r w:rsidRPr="00066710">
              <w:rPr>
                <w:color w:val="000000"/>
                <w:sz w:val="16"/>
              </w:rPr>
              <w:t>142.6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EC7D8F3" w14:textId="77777777" w:rsidR="00286810" w:rsidRPr="00066710" w:rsidRDefault="00286810" w:rsidP="004877F2">
            <w:pPr>
              <w:jc w:val="right"/>
              <w:rPr>
                <w:rFonts w:cstheme="minorHAnsi"/>
                <w:color w:val="000000"/>
                <w:sz w:val="16"/>
                <w:szCs w:val="16"/>
              </w:rPr>
            </w:pPr>
            <w:r w:rsidRPr="00066710">
              <w:rPr>
                <w:color w:val="000000"/>
                <w:sz w:val="16"/>
              </w:rPr>
              <w:t>51.2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3DACA81" w14:textId="77777777" w:rsidR="00286810" w:rsidRPr="00066710" w:rsidRDefault="00286810" w:rsidP="004877F2">
            <w:pPr>
              <w:jc w:val="right"/>
              <w:rPr>
                <w:rFonts w:cstheme="minorHAnsi"/>
                <w:color w:val="000000"/>
                <w:sz w:val="16"/>
                <w:szCs w:val="16"/>
              </w:rPr>
            </w:pPr>
            <w:r w:rsidRPr="00066710">
              <w:rPr>
                <w:color w:val="000000"/>
                <w:sz w:val="16"/>
              </w:rPr>
              <w:t>-64.1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9783B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A5D170" w14:textId="77777777" w:rsidR="00286810" w:rsidRPr="00066710" w:rsidRDefault="00286810" w:rsidP="004877F2">
            <w:pPr>
              <w:jc w:val="right"/>
              <w:rPr>
                <w:rFonts w:cstheme="minorHAnsi"/>
                <w:color w:val="000000"/>
                <w:sz w:val="16"/>
                <w:szCs w:val="16"/>
              </w:rPr>
            </w:pPr>
            <w:r w:rsidRPr="00066710">
              <w:rPr>
                <w:color w:val="000000"/>
                <w:sz w:val="16"/>
              </w:rPr>
              <w:t>721.8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607F32" w14:textId="77777777" w:rsidR="00286810" w:rsidRPr="00066710" w:rsidRDefault="00286810" w:rsidP="004877F2">
            <w:pPr>
              <w:jc w:val="right"/>
              <w:rPr>
                <w:rFonts w:cstheme="minorHAnsi"/>
                <w:color w:val="000000"/>
                <w:sz w:val="16"/>
                <w:szCs w:val="16"/>
              </w:rPr>
            </w:pPr>
            <w:r w:rsidRPr="00066710">
              <w:rPr>
                <w:color w:val="000000"/>
                <w:sz w:val="16"/>
              </w:rPr>
              <w:t>227.2</w:t>
            </w:r>
          </w:p>
        </w:tc>
        <w:tc>
          <w:tcPr>
            <w:tcW w:w="670" w:type="dxa"/>
            <w:tcBorders>
              <w:top w:val="nil"/>
              <w:left w:val="nil"/>
              <w:bottom w:val="single" w:sz="4" w:space="0" w:color="FFFFFF" w:themeColor="background1"/>
              <w:right w:val="nil"/>
            </w:tcBorders>
            <w:shd w:val="clear" w:color="auto" w:fill="auto"/>
            <w:noWrap/>
            <w:vAlign w:val="bottom"/>
            <w:hideMark/>
          </w:tcPr>
          <w:p w14:paraId="52FC5BE8" w14:textId="77777777" w:rsidR="00286810" w:rsidRPr="00066710" w:rsidRDefault="00286810" w:rsidP="004877F2">
            <w:pPr>
              <w:jc w:val="right"/>
              <w:rPr>
                <w:rFonts w:cstheme="minorHAnsi"/>
                <w:color w:val="000000"/>
                <w:sz w:val="16"/>
                <w:szCs w:val="16"/>
              </w:rPr>
            </w:pPr>
            <w:r w:rsidRPr="00066710">
              <w:rPr>
                <w:color w:val="000000"/>
                <w:sz w:val="16"/>
              </w:rPr>
              <w:t>-68.5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65EBCB5" w14:textId="77777777" w:rsidR="00286810" w:rsidRPr="00066710" w:rsidRDefault="00286810" w:rsidP="004877F2">
            <w:pPr>
              <w:jc w:val="right"/>
              <w:rPr>
                <w:rFonts w:cstheme="minorHAnsi"/>
                <w:color w:val="000000"/>
                <w:sz w:val="16"/>
                <w:szCs w:val="16"/>
              </w:rPr>
            </w:pPr>
            <w:r w:rsidRPr="00066710">
              <w:rPr>
                <w:color w:val="000000"/>
                <w:sz w:val="16"/>
              </w:rPr>
              <w:t>444.1</w:t>
            </w:r>
          </w:p>
        </w:tc>
      </w:tr>
      <w:tr w:rsidR="00286810" w:rsidRPr="00066710" w14:paraId="633D03A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A516679" w14:textId="77777777" w:rsidR="00286810" w:rsidRPr="00066710" w:rsidRDefault="00286810" w:rsidP="004877F2">
            <w:pPr>
              <w:rPr>
                <w:rFonts w:cstheme="minorHAnsi"/>
                <w:color w:val="000000"/>
                <w:sz w:val="16"/>
                <w:szCs w:val="16"/>
              </w:rPr>
            </w:pPr>
            <w:r w:rsidRPr="00066710">
              <w:rPr>
                <w:color w:val="000000"/>
                <w:sz w:val="16"/>
              </w:rPr>
              <w:t>Jordan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D4FF7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958FAA2" w14:textId="77777777" w:rsidR="00286810" w:rsidRPr="00066710" w:rsidRDefault="00286810" w:rsidP="004877F2">
            <w:pPr>
              <w:jc w:val="right"/>
              <w:rPr>
                <w:rFonts w:cstheme="minorHAnsi"/>
                <w:color w:val="000000"/>
                <w:sz w:val="16"/>
                <w:szCs w:val="16"/>
              </w:rPr>
            </w:pPr>
            <w:r w:rsidRPr="00066710">
              <w:rPr>
                <w:color w:val="000000"/>
                <w:sz w:val="16"/>
              </w:rPr>
              <w:t>2.0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593C523" w14:textId="77777777" w:rsidR="00286810" w:rsidRPr="00066710" w:rsidRDefault="00286810" w:rsidP="004877F2">
            <w:pPr>
              <w:jc w:val="right"/>
              <w:rPr>
                <w:rFonts w:cstheme="minorHAnsi"/>
                <w:color w:val="000000"/>
                <w:sz w:val="16"/>
                <w:szCs w:val="16"/>
              </w:rPr>
            </w:pPr>
            <w:r w:rsidRPr="00066710">
              <w:rPr>
                <w:color w:val="000000"/>
                <w:sz w:val="16"/>
              </w:rPr>
              <w:t>2.8</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0FE909B" w14:textId="77777777" w:rsidR="00286810" w:rsidRPr="00066710" w:rsidRDefault="00286810" w:rsidP="004877F2">
            <w:pPr>
              <w:jc w:val="right"/>
              <w:rPr>
                <w:rFonts w:cstheme="minorHAnsi"/>
                <w:color w:val="000000"/>
                <w:sz w:val="16"/>
                <w:szCs w:val="16"/>
              </w:rPr>
            </w:pPr>
            <w:r w:rsidRPr="00066710">
              <w:rPr>
                <w:color w:val="000000"/>
                <w:sz w:val="16"/>
              </w:rPr>
              <w:t>38.1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FE495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4FC5C7" w14:textId="77777777" w:rsidR="00286810" w:rsidRPr="00066710" w:rsidRDefault="00286810" w:rsidP="004877F2">
            <w:pPr>
              <w:jc w:val="right"/>
              <w:rPr>
                <w:rFonts w:cstheme="minorHAnsi"/>
                <w:color w:val="000000"/>
                <w:sz w:val="16"/>
                <w:szCs w:val="16"/>
              </w:rPr>
            </w:pPr>
            <w:r w:rsidRPr="00066710">
              <w:rPr>
                <w:color w:val="000000"/>
                <w:sz w:val="16"/>
              </w:rPr>
              <w:t>135.2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6327DA" w14:textId="77777777" w:rsidR="00286810" w:rsidRPr="00066710" w:rsidRDefault="00286810" w:rsidP="004877F2">
            <w:pPr>
              <w:jc w:val="right"/>
              <w:rPr>
                <w:rFonts w:cstheme="minorHAnsi"/>
                <w:color w:val="000000"/>
                <w:sz w:val="16"/>
                <w:szCs w:val="16"/>
              </w:rPr>
            </w:pPr>
            <w:r w:rsidRPr="00066710">
              <w:rPr>
                <w:color w:val="000000"/>
                <w:sz w:val="16"/>
              </w:rPr>
              <w:t>226.9</w:t>
            </w:r>
          </w:p>
        </w:tc>
        <w:tc>
          <w:tcPr>
            <w:tcW w:w="670" w:type="dxa"/>
            <w:tcBorders>
              <w:top w:val="nil"/>
              <w:left w:val="nil"/>
              <w:bottom w:val="single" w:sz="4" w:space="0" w:color="FFFFFF" w:themeColor="background1"/>
              <w:right w:val="nil"/>
            </w:tcBorders>
            <w:shd w:val="clear" w:color="auto" w:fill="auto"/>
            <w:noWrap/>
            <w:vAlign w:val="bottom"/>
            <w:hideMark/>
          </w:tcPr>
          <w:p w14:paraId="1FFCB7C1" w14:textId="77777777" w:rsidR="00286810" w:rsidRPr="00066710" w:rsidRDefault="00286810" w:rsidP="004877F2">
            <w:pPr>
              <w:jc w:val="right"/>
              <w:rPr>
                <w:rFonts w:cstheme="minorHAnsi"/>
                <w:color w:val="000000"/>
                <w:sz w:val="16"/>
                <w:szCs w:val="16"/>
              </w:rPr>
            </w:pPr>
            <w:r w:rsidRPr="00066710">
              <w:rPr>
                <w:color w:val="000000"/>
                <w:sz w:val="16"/>
              </w:rPr>
              <w:t>67.9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D222D9F" w14:textId="77777777" w:rsidR="00286810" w:rsidRPr="00066710" w:rsidRDefault="00286810" w:rsidP="004877F2">
            <w:pPr>
              <w:jc w:val="right"/>
              <w:rPr>
                <w:rFonts w:cstheme="minorHAnsi"/>
                <w:color w:val="000000"/>
                <w:sz w:val="16"/>
                <w:szCs w:val="16"/>
              </w:rPr>
            </w:pPr>
            <w:r w:rsidRPr="00066710">
              <w:rPr>
                <w:color w:val="000000"/>
                <w:sz w:val="16"/>
              </w:rPr>
              <w:t>8,073.8</w:t>
            </w:r>
          </w:p>
        </w:tc>
      </w:tr>
      <w:tr w:rsidR="00286810" w:rsidRPr="00066710" w14:paraId="26C31F29"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6C2F8A9" w14:textId="77777777" w:rsidR="00286810" w:rsidRPr="00066710" w:rsidRDefault="00286810" w:rsidP="004877F2">
            <w:pPr>
              <w:rPr>
                <w:rFonts w:cstheme="minorHAnsi"/>
                <w:color w:val="000000"/>
                <w:sz w:val="16"/>
                <w:szCs w:val="16"/>
              </w:rPr>
            </w:pPr>
            <w:r w:rsidRPr="00066710">
              <w:rPr>
                <w:color w:val="000000"/>
                <w:sz w:val="16"/>
              </w:rPr>
              <w:t>Chile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CA4C0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BD474B4" w14:textId="77777777" w:rsidR="00286810" w:rsidRPr="00066710" w:rsidRDefault="00286810" w:rsidP="004877F2">
            <w:pPr>
              <w:jc w:val="right"/>
              <w:rPr>
                <w:rFonts w:cstheme="minorHAnsi"/>
                <w:color w:val="000000"/>
                <w:sz w:val="16"/>
                <w:szCs w:val="16"/>
              </w:rPr>
            </w:pPr>
            <w:r w:rsidRPr="00066710">
              <w:rPr>
                <w:color w:val="000000"/>
                <w:sz w:val="16"/>
              </w:rPr>
              <w:t>2.4</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08DD91C" w14:textId="77777777" w:rsidR="00286810" w:rsidRPr="00066710" w:rsidRDefault="00286810" w:rsidP="004877F2">
            <w:pPr>
              <w:jc w:val="right"/>
              <w:rPr>
                <w:rFonts w:cstheme="minorHAnsi"/>
                <w:color w:val="000000"/>
                <w:sz w:val="16"/>
                <w:szCs w:val="16"/>
              </w:rPr>
            </w:pPr>
            <w:r w:rsidRPr="00066710">
              <w:rPr>
                <w:color w:val="000000"/>
                <w:sz w:val="16"/>
              </w:rPr>
              <w:t>1.3</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CCED819" w14:textId="77777777" w:rsidR="00286810" w:rsidRPr="00066710" w:rsidRDefault="00286810" w:rsidP="004877F2">
            <w:pPr>
              <w:jc w:val="right"/>
              <w:rPr>
                <w:rFonts w:cstheme="minorHAnsi"/>
                <w:color w:val="000000"/>
                <w:sz w:val="16"/>
                <w:szCs w:val="16"/>
              </w:rPr>
            </w:pPr>
            <w:r w:rsidRPr="00066710">
              <w:rPr>
                <w:color w:val="000000"/>
                <w:sz w:val="16"/>
              </w:rPr>
              <w:t>-46.0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44F12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E4363D" w14:textId="77777777" w:rsidR="00286810" w:rsidRPr="00066710" w:rsidRDefault="00286810" w:rsidP="004877F2">
            <w:pPr>
              <w:jc w:val="right"/>
              <w:rPr>
                <w:rFonts w:cstheme="minorHAnsi"/>
                <w:color w:val="000000"/>
                <w:sz w:val="16"/>
                <w:szCs w:val="16"/>
              </w:rPr>
            </w:pPr>
            <w:r w:rsidRPr="00066710">
              <w:rPr>
                <w:color w:val="000000"/>
                <w:sz w:val="16"/>
              </w:rPr>
              <w:t>107.8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01B088" w14:textId="77777777" w:rsidR="00286810" w:rsidRPr="00066710" w:rsidRDefault="00286810" w:rsidP="004877F2">
            <w:pPr>
              <w:jc w:val="right"/>
              <w:rPr>
                <w:rFonts w:cstheme="minorHAnsi"/>
                <w:color w:val="000000"/>
                <w:sz w:val="16"/>
                <w:szCs w:val="16"/>
              </w:rPr>
            </w:pPr>
            <w:r w:rsidRPr="00066710">
              <w:rPr>
                <w:color w:val="000000"/>
                <w:sz w:val="16"/>
              </w:rPr>
              <w:t>211.9</w:t>
            </w:r>
          </w:p>
        </w:tc>
        <w:tc>
          <w:tcPr>
            <w:tcW w:w="670" w:type="dxa"/>
            <w:tcBorders>
              <w:top w:val="nil"/>
              <w:left w:val="nil"/>
              <w:bottom w:val="single" w:sz="4" w:space="0" w:color="FFFFFF" w:themeColor="background1"/>
              <w:right w:val="nil"/>
            </w:tcBorders>
            <w:shd w:val="clear" w:color="auto" w:fill="auto"/>
            <w:noWrap/>
            <w:vAlign w:val="bottom"/>
            <w:hideMark/>
          </w:tcPr>
          <w:p w14:paraId="36DE1A3D" w14:textId="77777777" w:rsidR="00286810" w:rsidRPr="00066710" w:rsidRDefault="00286810" w:rsidP="004877F2">
            <w:pPr>
              <w:jc w:val="right"/>
              <w:rPr>
                <w:rFonts w:cstheme="minorHAnsi"/>
                <w:color w:val="000000"/>
                <w:sz w:val="16"/>
                <w:szCs w:val="16"/>
              </w:rPr>
            </w:pPr>
            <w:r w:rsidRPr="00066710">
              <w:rPr>
                <w:color w:val="000000"/>
                <w:sz w:val="16"/>
              </w:rPr>
              <w:t>96.6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A15EEB" w14:textId="77777777" w:rsidR="00286810" w:rsidRPr="00066710" w:rsidRDefault="00286810" w:rsidP="004877F2">
            <w:pPr>
              <w:jc w:val="right"/>
              <w:rPr>
                <w:rFonts w:cstheme="minorHAnsi"/>
                <w:color w:val="000000"/>
                <w:sz w:val="16"/>
                <w:szCs w:val="16"/>
              </w:rPr>
            </w:pPr>
            <w:r w:rsidRPr="00066710">
              <w:rPr>
                <w:color w:val="000000"/>
                <w:sz w:val="16"/>
              </w:rPr>
              <w:t>16,525.8</w:t>
            </w:r>
          </w:p>
        </w:tc>
      </w:tr>
      <w:tr w:rsidR="00286810" w:rsidRPr="00066710" w14:paraId="7EE32ABF"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68F2DCE" w14:textId="77777777" w:rsidR="00286810" w:rsidRPr="00066710" w:rsidRDefault="00286810" w:rsidP="004877F2">
            <w:pPr>
              <w:rPr>
                <w:rFonts w:cstheme="minorHAnsi"/>
                <w:color w:val="000000"/>
                <w:sz w:val="16"/>
                <w:szCs w:val="16"/>
              </w:rPr>
            </w:pPr>
            <w:r w:rsidRPr="00066710">
              <w:rPr>
                <w:color w:val="000000"/>
                <w:sz w:val="16"/>
              </w:rPr>
              <w:t>Ivory Coast</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DDD08D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3AA2AB8" w14:textId="77777777" w:rsidR="00286810" w:rsidRPr="00066710" w:rsidRDefault="00286810" w:rsidP="004877F2">
            <w:pPr>
              <w:jc w:val="right"/>
              <w:rPr>
                <w:rFonts w:cstheme="minorHAnsi"/>
                <w:color w:val="000000"/>
                <w:sz w:val="16"/>
                <w:szCs w:val="16"/>
              </w:rPr>
            </w:pPr>
            <w:r w:rsidRPr="00066710">
              <w:rPr>
                <w:color w:val="000000"/>
                <w:sz w:val="16"/>
              </w:rPr>
              <w:t>0.6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2358C97" w14:textId="77777777" w:rsidR="00286810" w:rsidRPr="00066710" w:rsidRDefault="00286810" w:rsidP="004877F2">
            <w:pPr>
              <w:jc w:val="right"/>
              <w:rPr>
                <w:rFonts w:cstheme="minorHAnsi"/>
                <w:color w:val="000000"/>
                <w:sz w:val="16"/>
                <w:szCs w:val="16"/>
              </w:rPr>
            </w:pPr>
            <w:r w:rsidRPr="00066710">
              <w:rPr>
                <w:color w:val="000000"/>
                <w:sz w:val="16"/>
              </w:rPr>
              <w:t>6.8</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B5F5C17" w14:textId="77777777" w:rsidR="00286810" w:rsidRPr="00066710" w:rsidRDefault="00286810" w:rsidP="004877F2">
            <w:pPr>
              <w:jc w:val="right"/>
              <w:rPr>
                <w:rFonts w:cstheme="minorHAnsi"/>
                <w:color w:val="000000"/>
                <w:sz w:val="16"/>
                <w:szCs w:val="16"/>
              </w:rPr>
            </w:pPr>
            <w:r w:rsidRPr="00066710">
              <w:rPr>
                <w:color w:val="000000"/>
                <w:sz w:val="16"/>
              </w:rPr>
              <w:t>1,121.3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5CB30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4CD0C3" w14:textId="77777777" w:rsidR="00286810" w:rsidRPr="00066710" w:rsidRDefault="00286810" w:rsidP="004877F2">
            <w:pPr>
              <w:jc w:val="right"/>
              <w:rPr>
                <w:rFonts w:cstheme="minorHAnsi"/>
                <w:color w:val="000000"/>
                <w:sz w:val="16"/>
                <w:szCs w:val="16"/>
              </w:rPr>
            </w:pPr>
            <w:r w:rsidRPr="00066710">
              <w:rPr>
                <w:color w:val="000000"/>
                <w:sz w:val="16"/>
              </w:rPr>
              <w:t>520.8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F18BAE" w14:textId="77777777" w:rsidR="00286810" w:rsidRPr="00066710" w:rsidRDefault="00286810" w:rsidP="004877F2">
            <w:pPr>
              <w:jc w:val="right"/>
              <w:rPr>
                <w:rFonts w:cstheme="minorHAnsi"/>
                <w:color w:val="000000"/>
                <w:sz w:val="16"/>
                <w:szCs w:val="16"/>
              </w:rPr>
            </w:pPr>
            <w:r w:rsidRPr="00066710">
              <w:rPr>
                <w:color w:val="000000"/>
                <w:sz w:val="16"/>
              </w:rPr>
              <w:t>209.8</w:t>
            </w:r>
          </w:p>
        </w:tc>
        <w:tc>
          <w:tcPr>
            <w:tcW w:w="670" w:type="dxa"/>
            <w:tcBorders>
              <w:top w:val="nil"/>
              <w:left w:val="nil"/>
              <w:bottom w:val="single" w:sz="4" w:space="0" w:color="FFFFFF" w:themeColor="background1"/>
              <w:right w:val="nil"/>
            </w:tcBorders>
            <w:shd w:val="clear" w:color="auto" w:fill="auto"/>
            <w:noWrap/>
            <w:vAlign w:val="bottom"/>
            <w:hideMark/>
          </w:tcPr>
          <w:p w14:paraId="41884696" w14:textId="77777777" w:rsidR="00286810" w:rsidRPr="00066710" w:rsidRDefault="00286810" w:rsidP="004877F2">
            <w:pPr>
              <w:jc w:val="right"/>
              <w:rPr>
                <w:rFonts w:cstheme="minorHAnsi"/>
                <w:color w:val="000000"/>
                <w:sz w:val="16"/>
                <w:szCs w:val="16"/>
              </w:rPr>
            </w:pPr>
            <w:r w:rsidRPr="00066710">
              <w:rPr>
                <w:color w:val="000000"/>
                <w:sz w:val="16"/>
              </w:rPr>
              <w:t>-59.7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408C10F" w14:textId="77777777" w:rsidR="00286810" w:rsidRPr="00066710" w:rsidRDefault="00286810" w:rsidP="004877F2">
            <w:pPr>
              <w:jc w:val="right"/>
              <w:rPr>
                <w:rFonts w:cstheme="minorHAnsi"/>
                <w:color w:val="000000"/>
                <w:sz w:val="16"/>
                <w:szCs w:val="16"/>
              </w:rPr>
            </w:pPr>
            <w:r w:rsidRPr="00066710">
              <w:rPr>
                <w:color w:val="000000"/>
                <w:sz w:val="16"/>
              </w:rPr>
              <w:t>3,068.0</w:t>
            </w:r>
          </w:p>
        </w:tc>
      </w:tr>
      <w:tr w:rsidR="00286810" w:rsidRPr="00066710" w14:paraId="767C04FB"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BEBDA78" w14:textId="77777777" w:rsidR="00286810" w:rsidRPr="00066710" w:rsidRDefault="00286810" w:rsidP="004877F2">
            <w:pPr>
              <w:rPr>
                <w:rFonts w:cstheme="minorHAnsi"/>
                <w:color w:val="000000"/>
                <w:sz w:val="16"/>
                <w:szCs w:val="16"/>
              </w:rPr>
            </w:pPr>
            <w:r w:rsidRPr="00066710">
              <w:rPr>
                <w:color w:val="000000"/>
                <w:sz w:val="16"/>
              </w:rPr>
              <w:t>Gabon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291BD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E1CDBE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42CB82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2A1B9D0"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622DE3"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8748B0" w14:textId="77777777" w:rsidR="00286810" w:rsidRPr="00066710" w:rsidRDefault="00286810" w:rsidP="004877F2">
            <w:pPr>
              <w:jc w:val="right"/>
              <w:rPr>
                <w:rFonts w:cstheme="minorHAnsi"/>
                <w:color w:val="000000"/>
                <w:sz w:val="16"/>
                <w:szCs w:val="16"/>
              </w:rPr>
            </w:pPr>
            <w:r w:rsidRPr="00066710">
              <w:rPr>
                <w:color w:val="000000"/>
                <w:sz w:val="16"/>
              </w:rPr>
              <w:t>211.7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FC5F01" w14:textId="77777777" w:rsidR="00286810" w:rsidRPr="00066710" w:rsidRDefault="00286810" w:rsidP="004877F2">
            <w:pPr>
              <w:jc w:val="right"/>
              <w:rPr>
                <w:rFonts w:cstheme="minorHAnsi"/>
                <w:color w:val="000000"/>
                <w:sz w:val="16"/>
                <w:szCs w:val="16"/>
              </w:rPr>
            </w:pPr>
            <w:r w:rsidRPr="00066710">
              <w:rPr>
                <w:color w:val="000000"/>
                <w:sz w:val="16"/>
              </w:rPr>
              <w:t>196.2</w:t>
            </w:r>
          </w:p>
        </w:tc>
        <w:tc>
          <w:tcPr>
            <w:tcW w:w="670" w:type="dxa"/>
            <w:tcBorders>
              <w:top w:val="nil"/>
              <w:left w:val="nil"/>
              <w:bottom w:val="single" w:sz="4" w:space="0" w:color="FFFFFF" w:themeColor="background1"/>
              <w:right w:val="nil"/>
            </w:tcBorders>
            <w:shd w:val="clear" w:color="auto" w:fill="auto"/>
            <w:noWrap/>
            <w:vAlign w:val="bottom"/>
            <w:hideMark/>
          </w:tcPr>
          <w:p w14:paraId="7AD585BF" w14:textId="77777777" w:rsidR="00286810" w:rsidRPr="00066710" w:rsidRDefault="00286810" w:rsidP="004877F2">
            <w:pPr>
              <w:jc w:val="right"/>
              <w:rPr>
                <w:rFonts w:cstheme="minorHAnsi"/>
                <w:color w:val="000000"/>
                <w:sz w:val="16"/>
                <w:szCs w:val="16"/>
              </w:rPr>
            </w:pPr>
            <w:r w:rsidRPr="00066710">
              <w:rPr>
                <w:color w:val="000000"/>
                <w:sz w:val="16"/>
              </w:rPr>
              <w:t>-7.3</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78EF2A"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3A9CC21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ED81297" w14:textId="77777777" w:rsidR="00286810" w:rsidRPr="00066710" w:rsidRDefault="00286810" w:rsidP="004877F2">
            <w:pPr>
              <w:rPr>
                <w:rFonts w:cstheme="minorHAnsi"/>
                <w:color w:val="000000"/>
                <w:sz w:val="16"/>
                <w:szCs w:val="16"/>
              </w:rPr>
            </w:pPr>
            <w:r w:rsidRPr="00066710">
              <w:rPr>
                <w:color w:val="000000"/>
                <w:sz w:val="16"/>
              </w:rPr>
              <w:t>Costa Rica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24DD2A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E96C8B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99F57AC" w14:textId="77777777" w:rsidR="00286810" w:rsidRPr="00066710" w:rsidRDefault="00286810" w:rsidP="004877F2">
            <w:pPr>
              <w:jc w:val="right"/>
              <w:rPr>
                <w:rFonts w:cstheme="minorHAnsi"/>
                <w:color w:val="000000"/>
                <w:sz w:val="16"/>
                <w:szCs w:val="16"/>
              </w:rPr>
            </w:pPr>
            <w:r w:rsidRPr="00066710">
              <w:rPr>
                <w:color w:val="000000"/>
                <w:sz w:val="16"/>
              </w:rPr>
              <w:t>1.3</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0F31BA1"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77C78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2E704B" w14:textId="77777777" w:rsidR="00286810" w:rsidRPr="00066710" w:rsidRDefault="00286810" w:rsidP="004877F2">
            <w:pPr>
              <w:jc w:val="right"/>
              <w:rPr>
                <w:rFonts w:cstheme="minorHAnsi"/>
                <w:color w:val="000000"/>
                <w:sz w:val="16"/>
                <w:szCs w:val="16"/>
              </w:rPr>
            </w:pPr>
            <w:r w:rsidRPr="00066710">
              <w:rPr>
                <w:color w:val="000000"/>
                <w:sz w:val="16"/>
              </w:rPr>
              <w:t>20.7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96B673" w14:textId="77777777" w:rsidR="00286810" w:rsidRPr="00066710" w:rsidRDefault="00286810" w:rsidP="004877F2">
            <w:pPr>
              <w:jc w:val="right"/>
              <w:rPr>
                <w:rFonts w:cstheme="minorHAnsi"/>
                <w:color w:val="000000"/>
                <w:sz w:val="16"/>
                <w:szCs w:val="16"/>
              </w:rPr>
            </w:pPr>
            <w:r w:rsidRPr="00066710">
              <w:rPr>
                <w:color w:val="000000"/>
                <w:sz w:val="16"/>
              </w:rPr>
              <w:t>186.5</w:t>
            </w:r>
          </w:p>
        </w:tc>
        <w:tc>
          <w:tcPr>
            <w:tcW w:w="670" w:type="dxa"/>
            <w:tcBorders>
              <w:top w:val="nil"/>
              <w:left w:val="nil"/>
              <w:bottom w:val="single" w:sz="4" w:space="0" w:color="FFFFFF" w:themeColor="background1"/>
              <w:right w:val="nil"/>
            </w:tcBorders>
            <w:shd w:val="clear" w:color="auto" w:fill="auto"/>
            <w:noWrap/>
            <w:vAlign w:val="bottom"/>
            <w:hideMark/>
          </w:tcPr>
          <w:p w14:paraId="6BE2455F" w14:textId="77777777" w:rsidR="00286810" w:rsidRPr="00066710" w:rsidRDefault="00286810" w:rsidP="004877F2">
            <w:pPr>
              <w:jc w:val="right"/>
              <w:rPr>
                <w:rFonts w:cstheme="minorHAnsi"/>
                <w:color w:val="000000"/>
                <w:sz w:val="16"/>
                <w:szCs w:val="16"/>
              </w:rPr>
            </w:pPr>
            <w:r w:rsidRPr="00066710">
              <w:rPr>
                <w:color w:val="000000"/>
                <w:sz w:val="16"/>
              </w:rPr>
              <w:t>801.1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28C476B" w14:textId="77777777" w:rsidR="00286810" w:rsidRPr="00066710" w:rsidRDefault="00286810" w:rsidP="004877F2">
            <w:pPr>
              <w:jc w:val="right"/>
              <w:rPr>
                <w:rFonts w:cstheme="minorHAnsi"/>
                <w:color w:val="000000"/>
                <w:sz w:val="16"/>
                <w:szCs w:val="16"/>
              </w:rPr>
            </w:pPr>
            <w:r w:rsidRPr="00066710">
              <w:rPr>
                <w:color w:val="000000"/>
                <w:sz w:val="16"/>
              </w:rPr>
              <w:t>14,730.6</w:t>
            </w:r>
          </w:p>
        </w:tc>
      </w:tr>
      <w:tr w:rsidR="00286810" w:rsidRPr="00066710" w14:paraId="461F76F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ACECD9D" w14:textId="77777777" w:rsidR="00286810" w:rsidRPr="00066710" w:rsidRDefault="00286810" w:rsidP="004877F2">
            <w:pPr>
              <w:rPr>
                <w:rFonts w:cstheme="minorHAnsi"/>
                <w:color w:val="000000"/>
                <w:sz w:val="16"/>
                <w:szCs w:val="16"/>
              </w:rPr>
            </w:pPr>
            <w:r w:rsidRPr="00066710">
              <w:rPr>
                <w:color w:val="000000"/>
                <w:sz w:val="16"/>
              </w:rPr>
              <w:t>Egypt</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AB2D10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90A074F" w14:textId="77777777" w:rsidR="00286810" w:rsidRPr="00066710" w:rsidRDefault="00286810" w:rsidP="004877F2">
            <w:pPr>
              <w:jc w:val="right"/>
              <w:rPr>
                <w:rFonts w:cstheme="minorHAnsi"/>
                <w:color w:val="000000"/>
                <w:sz w:val="16"/>
                <w:szCs w:val="16"/>
              </w:rPr>
            </w:pPr>
            <w:r w:rsidRPr="00066710">
              <w:rPr>
                <w:color w:val="000000"/>
                <w:sz w:val="16"/>
              </w:rPr>
              <w:t>327.0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0C72EA7" w14:textId="77777777" w:rsidR="00286810" w:rsidRPr="00066710" w:rsidRDefault="00286810" w:rsidP="004877F2">
            <w:pPr>
              <w:jc w:val="right"/>
              <w:rPr>
                <w:rFonts w:cstheme="minorHAnsi"/>
                <w:color w:val="000000"/>
                <w:sz w:val="16"/>
                <w:szCs w:val="16"/>
              </w:rPr>
            </w:pPr>
            <w:r w:rsidRPr="00066710">
              <w:rPr>
                <w:color w:val="000000"/>
                <w:sz w:val="16"/>
              </w:rPr>
              <w:t>230.0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455850C" w14:textId="77777777" w:rsidR="00286810" w:rsidRPr="00066710" w:rsidRDefault="00286810" w:rsidP="004877F2">
            <w:pPr>
              <w:jc w:val="right"/>
              <w:rPr>
                <w:rFonts w:cstheme="minorHAnsi"/>
                <w:color w:val="000000"/>
                <w:sz w:val="16"/>
                <w:szCs w:val="16"/>
              </w:rPr>
            </w:pPr>
            <w:r w:rsidRPr="00066710">
              <w:rPr>
                <w:color w:val="000000"/>
                <w:sz w:val="16"/>
              </w:rPr>
              <w:t>-29.7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DE090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40D526B" w14:textId="77777777" w:rsidR="00286810" w:rsidRPr="00066710" w:rsidRDefault="00286810" w:rsidP="004877F2">
            <w:pPr>
              <w:jc w:val="right"/>
              <w:rPr>
                <w:rFonts w:cstheme="minorHAnsi"/>
                <w:color w:val="000000"/>
                <w:sz w:val="16"/>
                <w:szCs w:val="16"/>
              </w:rPr>
            </w:pPr>
            <w:r w:rsidRPr="00066710">
              <w:rPr>
                <w:color w:val="000000"/>
                <w:sz w:val="16"/>
              </w:rPr>
              <w:t>199.7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1FBCE5" w14:textId="77777777" w:rsidR="00286810" w:rsidRPr="00066710" w:rsidRDefault="00286810" w:rsidP="004877F2">
            <w:pPr>
              <w:jc w:val="right"/>
              <w:rPr>
                <w:rFonts w:cstheme="minorHAnsi"/>
                <w:color w:val="000000"/>
                <w:sz w:val="16"/>
                <w:szCs w:val="16"/>
              </w:rPr>
            </w:pPr>
            <w:r w:rsidRPr="00066710">
              <w:rPr>
                <w:color w:val="000000"/>
                <w:sz w:val="16"/>
              </w:rPr>
              <w:t>177.2</w:t>
            </w:r>
          </w:p>
        </w:tc>
        <w:tc>
          <w:tcPr>
            <w:tcW w:w="670" w:type="dxa"/>
            <w:tcBorders>
              <w:top w:val="nil"/>
              <w:left w:val="nil"/>
              <w:bottom w:val="single" w:sz="4" w:space="0" w:color="FFFFFF" w:themeColor="background1"/>
              <w:right w:val="nil"/>
            </w:tcBorders>
            <w:shd w:val="clear" w:color="auto" w:fill="auto"/>
            <w:noWrap/>
            <w:vAlign w:val="bottom"/>
            <w:hideMark/>
          </w:tcPr>
          <w:p w14:paraId="329E77DB" w14:textId="77777777" w:rsidR="00286810" w:rsidRPr="00066710" w:rsidRDefault="00286810" w:rsidP="004877F2">
            <w:pPr>
              <w:jc w:val="right"/>
              <w:rPr>
                <w:rFonts w:cstheme="minorHAnsi"/>
                <w:color w:val="000000"/>
                <w:sz w:val="16"/>
                <w:szCs w:val="16"/>
              </w:rPr>
            </w:pPr>
            <w:r w:rsidRPr="00066710">
              <w:rPr>
                <w:color w:val="000000"/>
                <w:sz w:val="16"/>
              </w:rPr>
              <w:t>-11.3</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468DE29" w14:textId="77777777" w:rsidR="00286810" w:rsidRPr="00066710" w:rsidRDefault="00286810" w:rsidP="004877F2">
            <w:pPr>
              <w:jc w:val="right"/>
              <w:rPr>
                <w:rFonts w:cstheme="minorHAnsi"/>
                <w:color w:val="000000"/>
                <w:sz w:val="16"/>
                <w:szCs w:val="16"/>
              </w:rPr>
            </w:pPr>
            <w:r w:rsidRPr="00066710">
              <w:rPr>
                <w:color w:val="000000"/>
                <w:sz w:val="16"/>
              </w:rPr>
              <w:t>77.0</w:t>
            </w:r>
          </w:p>
        </w:tc>
      </w:tr>
      <w:tr w:rsidR="00286810" w:rsidRPr="00066710" w14:paraId="5C23B06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02340FD" w14:textId="77777777" w:rsidR="00286810" w:rsidRPr="00066710" w:rsidRDefault="00286810" w:rsidP="004877F2">
            <w:pPr>
              <w:rPr>
                <w:rFonts w:cstheme="minorHAnsi"/>
                <w:color w:val="000000"/>
                <w:sz w:val="16"/>
                <w:szCs w:val="16"/>
              </w:rPr>
            </w:pPr>
            <w:r w:rsidRPr="00066710">
              <w:rPr>
                <w:color w:val="000000"/>
                <w:sz w:val="16"/>
              </w:rPr>
              <w:t>Benin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80F54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54EE76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0F69B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D57D737"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E8403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F4FCF6" w14:textId="77777777" w:rsidR="00286810" w:rsidRPr="00066710" w:rsidRDefault="00286810" w:rsidP="004877F2">
            <w:pPr>
              <w:jc w:val="right"/>
              <w:rPr>
                <w:rFonts w:cstheme="minorHAnsi"/>
                <w:color w:val="000000"/>
                <w:sz w:val="16"/>
                <w:szCs w:val="16"/>
              </w:rPr>
            </w:pPr>
            <w:r w:rsidRPr="00066710">
              <w:rPr>
                <w:color w:val="000000"/>
                <w:sz w:val="16"/>
              </w:rPr>
              <w:t>69.8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9947EE" w14:textId="77777777" w:rsidR="00286810" w:rsidRPr="00066710" w:rsidRDefault="00286810" w:rsidP="004877F2">
            <w:pPr>
              <w:jc w:val="right"/>
              <w:rPr>
                <w:rFonts w:cstheme="minorHAnsi"/>
                <w:color w:val="000000"/>
                <w:sz w:val="16"/>
                <w:szCs w:val="16"/>
              </w:rPr>
            </w:pPr>
            <w:r w:rsidRPr="00066710">
              <w:rPr>
                <w:color w:val="000000"/>
                <w:sz w:val="16"/>
              </w:rPr>
              <w:t>172.7</w:t>
            </w:r>
          </w:p>
        </w:tc>
        <w:tc>
          <w:tcPr>
            <w:tcW w:w="670" w:type="dxa"/>
            <w:tcBorders>
              <w:top w:val="nil"/>
              <w:left w:val="nil"/>
              <w:bottom w:val="single" w:sz="4" w:space="0" w:color="FFFFFF" w:themeColor="background1"/>
              <w:right w:val="nil"/>
            </w:tcBorders>
            <w:shd w:val="clear" w:color="auto" w:fill="auto"/>
            <w:noWrap/>
            <w:vAlign w:val="bottom"/>
            <w:hideMark/>
          </w:tcPr>
          <w:p w14:paraId="796931C6" w14:textId="77777777" w:rsidR="00286810" w:rsidRPr="00066710" w:rsidRDefault="00286810" w:rsidP="004877F2">
            <w:pPr>
              <w:jc w:val="right"/>
              <w:rPr>
                <w:rFonts w:cstheme="minorHAnsi"/>
                <w:color w:val="000000"/>
                <w:sz w:val="16"/>
                <w:szCs w:val="16"/>
              </w:rPr>
            </w:pPr>
            <w:r w:rsidRPr="00066710">
              <w:rPr>
                <w:color w:val="000000"/>
                <w:sz w:val="16"/>
              </w:rPr>
              <w:t>147.6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3A7819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21276D7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0338036" w14:textId="77777777" w:rsidR="00286810" w:rsidRPr="00066710" w:rsidRDefault="00286810" w:rsidP="004877F2">
            <w:pPr>
              <w:rPr>
                <w:rFonts w:cstheme="minorHAnsi"/>
                <w:color w:val="000000"/>
                <w:sz w:val="16"/>
                <w:szCs w:val="16"/>
              </w:rPr>
            </w:pPr>
            <w:r w:rsidRPr="00066710">
              <w:rPr>
                <w:color w:val="000000"/>
                <w:sz w:val="16"/>
              </w:rPr>
              <w:t>New Zealand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CA902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009F22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89B99E9" w14:textId="77777777" w:rsidR="00286810" w:rsidRPr="00066710" w:rsidRDefault="00286810" w:rsidP="004877F2">
            <w:pPr>
              <w:jc w:val="right"/>
              <w:rPr>
                <w:rFonts w:cstheme="minorHAnsi"/>
                <w:color w:val="000000"/>
                <w:sz w:val="16"/>
                <w:szCs w:val="16"/>
              </w:rPr>
            </w:pPr>
            <w:r w:rsidRPr="00066710">
              <w:rPr>
                <w:color w:val="000000"/>
                <w:sz w:val="16"/>
              </w:rPr>
              <w:t>153.6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46C4E05"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F9EF8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6611F6" w14:textId="77777777" w:rsidR="00286810" w:rsidRPr="00066710" w:rsidRDefault="00286810" w:rsidP="004877F2">
            <w:pPr>
              <w:jc w:val="right"/>
              <w:rPr>
                <w:rFonts w:cstheme="minorHAnsi"/>
                <w:color w:val="000000"/>
                <w:sz w:val="16"/>
                <w:szCs w:val="16"/>
              </w:rPr>
            </w:pPr>
            <w:r w:rsidRPr="00066710">
              <w:rPr>
                <w:color w:val="000000"/>
                <w:sz w:val="16"/>
              </w:rPr>
              <w:t>373.8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CBEBFF" w14:textId="77777777" w:rsidR="00286810" w:rsidRPr="00066710" w:rsidRDefault="00286810" w:rsidP="004877F2">
            <w:pPr>
              <w:jc w:val="right"/>
              <w:rPr>
                <w:rFonts w:cstheme="minorHAnsi"/>
                <w:color w:val="000000"/>
                <w:sz w:val="16"/>
                <w:szCs w:val="16"/>
              </w:rPr>
            </w:pPr>
            <w:r w:rsidRPr="00066710">
              <w:rPr>
                <w:color w:val="000000"/>
                <w:sz w:val="16"/>
              </w:rPr>
              <w:t>171.3</w:t>
            </w:r>
          </w:p>
        </w:tc>
        <w:tc>
          <w:tcPr>
            <w:tcW w:w="670" w:type="dxa"/>
            <w:tcBorders>
              <w:top w:val="nil"/>
              <w:left w:val="nil"/>
              <w:bottom w:val="single" w:sz="4" w:space="0" w:color="FFFFFF" w:themeColor="background1"/>
              <w:right w:val="nil"/>
            </w:tcBorders>
            <w:shd w:val="clear" w:color="auto" w:fill="auto"/>
            <w:noWrap/>
            <w:vAlign w:val="bottom"/>
            <w:hideMark/>
          </w:tcPr>
          <w:p w14:paraId="2C29897A" w14:textId="77777777" w:rsidR="00286810" w:rsidRPr="00066710" w:rsidRDefault="00286810" w:rsidP="004877F2">
            <w:pPr>
              <w:jc w:val="right"/>
              <w:rPr>
                <w:rFonts w:cstheme="minorHAnsi"/>
                <w:color w:val="000000"/>
                <w:sz w:val="16"/>
                <w:szCs w:val="16"/>
              </w:rPr>
            </w:pPr>
            <w:r w:rsidRPr="00066710">
              <w:rPr>
                <w:color w:val="000000"/>
                <w:sz w:val="16"/>
              </w:rPr>
              <w:t>-54.2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8BE044" w14:textId="77777777" w:rsidR="00286810" w:rsidRPr="00066710" w:rsidRDefault="00286810" w:rsidP="004877F2">
            <w:pPr>
              <w:jc w:val="right"/>
              <w:rPr>
                <w:rFonts w:cstheme="minorHAnsi"/>
                <w:color w:val="000000"/>
                <w:sz w:val="16"/>
                <w:szCs w:val="16"/>
              </w:rPr>
            </w:pPr>
            <w:r w:rsidRPr="00066710">
              <w:rPr>
                <w:color w:val="000000"/>
                <w:sz w:val="16"/>
              </w:rPr>
              <w:t>111.6</w:t>
            </w:r>
          </w:p>
        </w:tc>
      </w:tr>
      <w:tr w:rsidR="00286810" w:rsidRPr="00066710" w14:paraId="4F51B0E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09F4321" w14:textId="77777777" w:rsidR="00286810" w:rsidRPr="00066710" w:rsidRDefault="00286810" w:rsidP="004877F2">
            <w:pPr>
              <w:rPr>
                <w:rFonts w:cstheme="minorHAnsi"/>
                <w:color w:val="000000"/>
                <w:sz w:val="16"/>
                <w:szCs w:val="16"/>
              </w:rPr>
            </w:pPr>
            <w:r w:rsidRPr="00066710">
              <w:rPr>
                <w:color w:val="000000"/>
                <w:sz w:val="16"/>
              </w:rPr>
              <w:t>Libya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8DEF4B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C60203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EC1122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FE368FF"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3FC2E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24B73D" w14:textId="77777777" w:rsidR="00286810" w:rsidRPr="00066710" w:rsidRDefault="00286810" w:rsidP="004877F2">
            <w:pPr>
              <w:jc w:val="right"/>
              <w:rPr>
                <w:rFonts w:cstheme="minorHAnsi"/>
                <w:color w:val="000000"/>
                <w:sz w:val="16"/>
                <w:szCs w:val="16"/>
              </w:rPr>
            </w:pPr>
            <w:r w:rsidRPr="00066710">
              <w:rPr>
                <w:color w:val="000000"/>
                <w:sz w:val="16"/>
              </w:rPr>
              <w:t>22.7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967627" w14:textId="77777777" w:rsidR="00286810" w:rsidRPr="00066710" w:rsidRDefault="00286810" w:rsidP="004877F2">
            <w:pPr>
              <w:jc w:val="right"/>
              <w:rPr>
                <w:rFonts w:cstheme="minorHAnsi"/>
                <w:color w:val="000000"/>
                <w:sz w:val="16"/>
                <w:szCs w:val="16"/>
              </w:rPr>
            </w:pPr>
            <w:r w:rsidRPr="00066710">
              <w:rPr>
                <w:color w:val="000000"/>
                <w:sz w:val="16"/>
              </w:rPr>
              <w:t>169.2</w:t>
            </w:r>
          </w:p>
        </w:tc>
        <w:tc>
          <w:tcPr>
            <w:tcW w:w="670" w:type="dxa"/>
            <w:tcBorders>
              <w:top w:val="nil"/>
              <w:left w:val="nil"/>
              <w:bottom w:val="single" w:sz="4" w:space="0" w:color="FFFFFF" w:themeColor="background1"/>
              <w:right w:val="nil"/>
            </w:tcBorders>
            <w:shd w:val="clear" w:color="auto" w:fill="auto"/>
            <w:noWrap/>
            <w:vAlign w:val="bottom"/>
            <w:hideMark/>
          </w:tcPr>
          <w:p w14:paraId="013F8B97" w14:textId="77777777" w:rsidR="00286810" w:rsidRPr="00066710" w:rsidRDefault="00286810" w:rsidP="004877F2">
            <w:pPr>
              <w:jc w:val="right"/>
              <w:rPr>
                <w:rFonts w:cstheme="minorHAnsi"/>
                <w:color w:val="000000"/>
                <w:sz w:val="16"/>
                <w:szCs w:val="16"/>
              </w:rPr>
            </w:pPr>
            <w:r w:rsidRPr="00066710">
              <w:rPr>
                <w:color w:val="000000"/>
                <w:sz w:val="16"/>
              </w:rPr>
              <w:t>645.0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DDAD60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2372BF3E"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BFC2B38" w14:textId="77777777" w:rsidR="00286810" w:rsidRPr="00066710" w:rsidRDefault="00286810" w:rsidP="004877F2">
            <w:pPr>
              <w:rPr>
                <w:rFonts w:cstheme="minorHAnsi"/>
                <w:color w:val="000000"/>
                <w:sz w:val="16"/>
                <w:szCs w:val="16"/>
              </w:rPr>
            </w:pPr>
            <w:r w:rsidRPr="00066710">
              <w:rPr>
                <w:color w:val="000000"/>
                <w:sz w:val="16"/>
              </w:rPr>
              <w:t>Rwanda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12B7A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D1C068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733AE8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4BC4FEF"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534F4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152D42" w14:textId="77777777" w:rsidR="00286810" w:rsidRPr="00066710" w:rsidRDefault="00286810" w:rsidP="004877F2">
            <w:pPr>
              <w:jc w:val="right"/>
              <w:rPr>
                <w:rFonts w:cstheme="minorHAnsi"/>
                <w:color w:val="000000"/>
                <w:sz w:val="16"/>
                <w:szCs w:val="16"/>
              </w:rPr>
            </w:pPr>
            <w:r w:rsidRPr="00066710">
              <w:rPr>
                <w:color w:val="000000"/>
                <w:sz w:val="16"/>
              </w:rPr>
              <w:t>154.2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762E58" w14:textId="77777777" w:rsidR="00286810" w:rsidRPr="00066710" w:rsidRDefault="00286810" w:rsidP="004877F2">
            <w:pPr>
              <w:jc w:val="right"/>
              <w:rPr>
                <w:rFonts w:cstheme="minorHAnsi"/>
                <w:color w:val="000000"/>
                <w:sz w:val="16"/>
                <w:szCs w:val="16"/>
              </w:rPr>
            </w:pPr>
            <w:r w:rsidRPr="00066710">
              <w:rPr>
                <w:color w:val="000000"/>
                <w:sz w:val="16"/>
              </w:rPr>
              <w:t>161.0</w:t>
            </w:r>
          </w:p>
        </w:tc>
        <w:tc>
          <w:tcPr>
            <w:tcW w:w="670" w:type="dxa"/>
            <w:tcBorders>
              <w:top w:val="nil"/>
              <w:left w:val="nil"/>
              <w:bottom w:val="single" w:sz="4" w:space="0" w:color="FFFFFF" w:themeColor="background1"/>
              <w:right w:val="nil"/>
            </w:tcBorders>
            <w:shd w:val="clear" w:color="auto" w:fill="auto"/>
            <w:noWrap/>
            <w:vAlign w:val="bottom"/>
            <w:hideMark/>
          </w:tcPr>
          <w:p w14:paraId="1DDCB911" w14:textId="77777777" w:rsidR="00286810" w:rsidRPr="00066710" w:rsidRDefault="00286810" w:rsidP="004877F2">
            <w:pPr>
              <w:jc w:val="right"/>
              <w:rPr>
                <w:rFonts w:cstheme="minorHAnsi"/>
                <w:color w:val="000000"/>
                <w:sz w:val="16"/>
                <w:szCs w:val="16"/>
              </w:rPr>
            </w:pPr>
            <w:r w:rsidRPr="00066710">
              <w:rPr>
                <w:color w:val="000000"/>
                <w:sz w:val="16"/>
              </w:rPr>
              <w:t>4.4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7B48583"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179FC16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41F8066" w14:textId="77777777" w:rsidR="00286810" w:rsidRPr="00066710" w:rsidRDefault="00286810" w:rsidP="004877F2">
            <w:pPr>
              <w:rPr>
                <w:rFonts w:cstheme="minorHAnsi"/>
                <w:color w:val="000000"/>
                <w:sz w:val="16"/>
                <w:szCs w:val="16"/>
              </w:rPr>
            </w:pPr>
            <w:r w:rsidRPr="00066710">
              <w:rPr>
                <w:color w:val="000000"/>
                <w:sz w:val="16"/>
              </w:rPr>
              <w:t>Mexico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8D787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9540610" w14:textId="77777777" w:rsidR="00286810" w:rsidRPr="00066710" w:rsidRDefault="00286810" w:rsidP="004877F2">
            <w:pPr>
              <w:jc w:val="right"/>
              <w:rPr>
                <w:rFonts w:cstheme="minorHAnsi"/>
                <w:color w:val="000000"/>
                <w:sz w:val="16"/>
                <w:szCs w:val="16"/>
              </w:rPr>
            </w:pPr>
            <w:r w:rsidRPr="00066710">
              <w:rPr>
                <w:color w:val="000000"/>
                <w:sz w:val="16"/>
              </w:rPr>
              <w:t>296.5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779658F" w14:textId="77777777" w:rsidR="00286810" w:rsidRPr="00066710" w:rsidRDefault="00286810" w:rsidP="004877F2">
            <w:pPr>
              <w:jc w:val="right"/>
              <w:rPr>
                <w:rFonts w:cstheme="minorHAnsi"/>
                <w:color w:val="000000"/>
                <w:sz w:val="16"/>
                <w:szCs w:val="16"/>
              </w:rPr>
            </w:pPr>
            <w:r w:rsidRPr="00066710">
              <w:rPr>
                <w:color w:val="000000"/>
                <w:sz w:val="16"/>
              </w:rPr>
              <w:t>169.9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739FF4F" w14:textId="77777777" w:rsidR="00286810" w:rsidRPr="00066710" w:rsidRDefault="00286810" w:rsidP="004877F2">
            <w:pPr>
              <w:jc w:val="right"/>
              <w:rPr>
                <w:rFonts w:cstheme="minorHAnsi"/>
                <w:color w:val="000000"/>
                <w:sz w:val="16"/>
                <w:szCs w:val="16"/>
              </w:rPr>
            </w:pPr>
            <w:r w:rsidRPr="00066710">
              <w:rPr>
                <w:color w:val="000000"/>
                <w:sz w:val="16"/>
              </w:rPr>
              <w:t>-42.7</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0443C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AA01F6" w14:textId="77777777" w:rsidR="00286810" w:rsidRPr="00066710" w:rsidRDefault="00286810" w:rsidP="004877F2">
            <w:pPr>
              <w:jc w:val="right"/>
              <w:rPr>
                <w:rFonts w:cstheme="minorHAnsi"/>
                <w:color w:val="000000"/>
                <w:sz w:val="16"/>
                <w:szCs w:val="16"/>
              </w:rPr>
            </w:pPr>
            <w:r w:rsidRPr="00066710">
              <w:rPr>
                <w:color w:val="000000"/>
                <w:sz w:val="16"/>
              </w:rPr>
              <w:t>313.0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1A2930" w14:textId="77777777" w:rsidR="00286810" w:rsidRPr="00066710" w:rsidRDefault="00286810" w:rsidP="004877F2">
            <w:pPr>
              <w:jc w:val="right"/>
              <w:rPr>
                <w:rFonts w:cstheme="minorHAnsi"/>
                <w:color w:val="000000"/>
                <w:sz w:val="16"/>
                <w:szCs w:val="16"/>
              </w:rPr>
            </w:pPr>
            <w:r w:rsidRPr="00066710">
              <w:rPr>
                <w:color w:val="000000"/>
                <w:sz w:val="16"/>
              </w:rPr>
              <w:t>143.3</w:t>
            </w:r>
          </w:p>
        </w:tc>
        <w:tc>
          <w:tcPr>
            <w:tcW w:w="670" w:type="dxa"/>
            <w:tcBorders>
              <w:top w:val="nil"/>
              <w:left w:val="nil"/>
              <w:bottom w:val="single" w:sz="4" w:space="0" w:color="FFFFFF" w:themeColor="background1"/>
              <w:right w:val="nil"/>
            </w:tcBorders>
            <w:shd w:val="clear" w:color="auto" w:fill="auto"/>
            <w:noWrap/>
            <w:vAlign w:val="bottom"/>
            <w:hideMark/>
          </w:tcPr>
          <w:p w14:paraId="18AAE2B8" w14:textId="77777777" w:rsidR="00286810" w:rsidRPr="00066710" w:rsidRDefault="00286810" w:rsidP="004877F2">
            <w:pPr>
              <w:jc w:val="right"/>
              <w:rPr>
                <w:rFonts w:cstheme="minorHAnsi"/>
                <w:color w:val="000000"/>
                <w:sz w:val="16"/>
                <w:szCs w:val="16"/>
              </w:rPr>
            </w:pPr>
            <w:r w:rsidRPr="00066710">
              <w:rPr>
                <w:color w:val="000000"/>
                <w:sz w:val="16"/>
              </w:rPr>
              <w:t>-54.2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C85CDF" w14:textId="77777777" w:rsidR="00286810" w:rsidRPr="00066710" w:rsidRDefault="00286810" w:rsidP="004877F2">
            <w:pPr>
              <w:jc w:val="right"/>
              <w:rPr>
                <w:rFonts w:cstheme="minorHAnsi"/>
                <w:color w:val="000000"/>
                <w:sz w:val="16"/>
                <w:szCs w:val="16"/>
              </w:rPr>
            </w:pPr>
            <w:r w:rsidRPr="00066710">
              <w:rPr>
                <w:color w:val="000000"/>
                <w:sz w:val="16"/>
              </w:rPr>
              <w:t>84.4</w:t>
            </w:r>
          </w:p>
        </w:tc>
      </w:tr>
      <w:tr w:rsidR="00286810" w:rsidRPr="00066710" w14:paraId="477F43D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6CBB049" w14:textId="77777777" w:rsidR="00286810" w:rsidRPr="00066710" w:rsidRDefault="00286810" w:rsidP="004877F2">
            <w:pPr>
              <w:rPr>
                <w:rFonts w:cstheme="minorHAnsi"/>
                <w:color w:val="000000"/>
                <w:sz w:val="16"/>
                <w:szCs w:val="16"/>
              </w:rPr>
            </w:pPr>
            <w:r w:rsidRPr="00066710">
              <w:rPr>
                <w:color w:val="000000"/>
                <w:sz w:val="16"/>
              </w:rPr>
              <w:t>Nigeria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36C3E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3053CA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AF55339"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0868927"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484FA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253D4C" w14:textId="77777777" w:rsidR="00286810" w:rsidRPr="00066710" w:rsidRDefault="00286810" w:rsidP="004877F2">
            <w:pPr>
              <w:jc w:val="right"/>
              <w:rPr>
                <w:rFonts w:cstheme="minorHAnsi"/>
                <w:color w:val="000000"/>
                <w:sz w:val="16"/>
                <w:szCs w:val="16"/>
              </w:rPr>
            </w:pPr>
            <w:r w:rsidRPr="00066710">
              <w:rPr>
                <w:color w:val="000000"/>
                <w:sz w:val="16"/>
              </w:rPr>
              <w:t>211.9</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AD4ED8" w14:textId="77777777" w:rsidR="00286810" w:rsidRPr="00066710" w:rsidRDefault="00286810" w:rsidP="004877F2">
            <w:pPr>
              <w:jc w:val="right"/>
              <w:rPr>
                <w:rFonts w:cstheme="minorHAnsi"/>
                <w:color w:val="000000"/>
                <w:sz w:val="16"/>
                <w:szCs w:val="16"/>
              </w:rPr>
            </w:pPr>
            <w:r w:rsidRPr="00066710">
              <w:rPr>
                <w:color w:val="000000"/>
                <w:sz w:val="16"/>
              </w:rPr>
              <w:t>141.1</w:t>
            </w:r>
          </w:p>
        </w:tc>
        <w:tc>
          <w:tcPr>
            <w:tcW w:w="670" w:type="dxa"/>
            <w:tcBorders>
              <w:top w:val="nil"/>
              <w:left w:val="nil"/>
              <w:bottom w:val="single" w:sz="4" w:space="0" w:color="FFFFFF" w:themeColor="background1"/>
              <w:right w:val="nil"/>
            </w:tcBorders>
            <w:shd w:val="clear" w:color="auto" w:fill="auto"/>
            <w:noWrap/>
            <w:vAlign w:val="bottom"/>
            <w:hideMark/>
          </w:tcPr>
          <w:p w14:paraId="43B6A430" w14:textId="77777777" w:rsidR="00286810" w:rsidRPr="00066710" w:rsidRDefault="00286810" w:rsidP="004877F2">
            <w:pPr>
              <w:jc w:val="right"/>
              <w:rPr>
                <w:rFonts w:cstheme="minorHAnsi"/>
                <w:color w:val="000000"/>
                <w:sz w:val="16"/>
                <w:szCs w:val="16"/>
              </w:rPr>
            </w:pPr>
            <w:r w:rsidRPr="00066710">
              <w:rPr>
                <w:color w:val="000000"/>
                <w:sz w:val="16"/>
              </w:rPr>
              <w:t>-33.4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C598AF" w14:textId="77777777" w:rsidR="00286810" w:rsidRPr="00066710" w:rsidRDefault="00286810" w:rsidP="004877F2">
            <w:pPr>
              <w:jc w:val="right"/>
              <w:rPr>
                <w:rFonts w:cstheme="minorHAnsi"/>
                <w:color w:val="000000"/>
                <w:sz w:val="16"/>
                <w:szCs w:val="16"/>
              </w:rPr>
            </w:pPr>
            <w:r w:rsidRPr="00066710">
              <w:rPr>
                <w:color w:val="000000"/>
                <w:sz w:val="16"/>
              </w:rPr>
              <w:t>135,651.0</w:t>
            </w:r>
          </w:p>
        </w:tc>
      </w:tr>
      <w:tr w:rsidR="00286810" w:rsidRPr="00066710" w14:paraId="2DAEDEE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85AA03D" w14:textId="77777777" w:rsidR="00286810" w:rsidRPr="00066710" w:rsidRDefault="00286810" w:rsidP="004877F2">
            <w:pPr>
              <w:rPr>
                <w:rFonts w:cstheme="minorHAnsi"/>
                <w:color w:val="000000"/>
                <w:sz w:val="16"/>
                <w:szCs w:val="16"/>
              </w:rPr>
            </w:pPr>
            <w:r w:rsidRPr="00066710">
              <w:rPr>
                <w:color w:val="000000"/>
                <w:sz w:val="16"/>
              </w:rPr>
              <w:t>UK (Northern Ireland)</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C23E2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1D6E03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B638DF8" w14:textId="77777777" w:rsidR="00286810" w:rsidRPr="00066710" w:rsidRDefault="00286810" w:rsidP="004877F2">
            <w:pPr>
              <w:jc w:val="right"/>
              <w:rPr>
                <w:rFonts w:cstheme="minorHAnsi"/>
                <w:color w:val="000000"/>
                <w:sz w:val="16"/>
                <w:szCs w:val="16"/>
              </w:rPr>
            </w:pPr>
            <w:r w:rsidRPr="00066710">
              <w:rPr>
                <w:color w:val="000000"/>
                <w:sz w:val="16"/>
              </w:rPr>
              <w:t>3.1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54A3897"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69CD0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EA522B" w14:textId="77777777" w:rsidR="00286810" w:rsidRPr="00066710" w:rsidRDefault="00286810" w:rsidP="004877F2">
            <w:pPr>
              <w:jc w:val="right"/>
              <w:rPr>
                <w:rFonts w:cstheme="minorHAnsi"/>
                <w:color w:val="000000"/>
                <w:sz w:val="16"/>
                <w:szCs w:val="16"/>
              </w:rPr>
            </w:pPr>
            <w:r w:rsidRPr="00066710">
              <w:rPr>
                <w:color w:val="000000"/>
                <w:sz w:val="16"/>
              </w:rPr>
              <w:t>210.4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5EF4F0" w14:textId="77777777" w:rsidR="00286810" w:rsidRPr="00066710" w:rsidRDefault="00286810" w:rsidP="004877F2">
            <w:pPr>
              <w:jc w:val="right"/>
              <w:rPr>
                <w:rFonts w:cstheme="minorHAnsi"/>
                <w:color w:val="000000"/>
                <w:sz w:val="16"/>
                <w:szCs w:val="16"/>
              </w:rPr>
            </w:pPr>
            <w:r w:rsidRPr="00066710">
              <w:rPr>
                <w:color w:val="000000"/>
                <w:sz w:val="16"/>
              </w:rPr>
              <w:t>125.8</w:t>
            </w:r>
          </w:p>
        </w:tc>
        <w:tc>
          <w:tcPr>
            <w:tcW w:w="670" w:type="dxa"/>
            <w:tcBorders>
              <w:top w:val="nil"/>
              <w:left w:val="nil"/>
              <w:bottom w:val="single" w:sz="4" w:space="0" w:color="FFFFFF" w:themeColor="background1"/>
              <w:right w:val="nil"/>
            </w:tcBorders>
            <w:shd w:val="clear" w:color="auto" w:fill="auto"/>
            <w:noWrap/>
            <w:vAlign w:val="bottom"/>
            <w:hideMark/>
          </w:tcPr>
          <w:p w14:paraId="61E799AA" w14:textId="77777777" w:rsidR="00286810" w:rsidRPr="00066710" w:rsidRDefault="00286810" w:rsidP="004877F2">
            <w:pPr>
              <w:jc w:val="right"/>
              <w:rPr>
                <w:rFonts w:cstheme="minorHAnsi"/>
                <w:color w:val="000000"/>
                <w:sz w:val="16"/>
                <w:szCs w:val="16"/>
              </w:rPr>
            </w:pPr>
            <w:r w:rsidRPr="00066710">
              <w:rPr>
                <w:color w:val="000000"/>
                <w:sz w:val="16"/>
              </w:rPr>
              <w:t>-40.2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CFEFFFA" w14:textId="77777777" w:rsidR="00286810" w:rsidRPr="00066710" w:rsidRDefault="00286810" w:rsidP="004877F2">
            <w:pPr>
              <w:jc w:val="right"/>
              <w:rPr>
                <w:rFonts w:cstheme="minorHAnsi"/>
                <w:color w:val="000000"/>
                <w:sz w:val="16"/>
                <w:szCs w:val="16"/>
              </w:rPr>
            </w:pPr>
            <w:r w:rsidRPr="00066710">
              <w:rPr>
                <w:color w:val="000000"/>
                <w:sz w:val="16"/>
              </w:rPr>
              <w:t>4,065.9</w:t>
            </w:r>
          </w:p>
        </w:tc>
      </w:tr>
      <w:tr w:rsidR="00286810" w:rsidRPr="00066710" w14:paraId="6C62C8E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8AA2FE4" w14:textId="77777777" w:rsidR="00286810" w:rsidRPr="00066710" w:rsidRDefault="00286810" w:rsidP="004877F2">
            <w:pPr>
              <w:rPr>
                <w:rFonts w:cstheme="minorHAnsi"/>
                <w:color w:val="000000"/>
                <w:sz w:val="16"/>
                <w:szCs w:val="16"/>
              </w:rPr>
            </w:pPr>
            <w:r w:rsidRPr="00066710">
              <w:rPr>
                <w:color w:val="000000"/>
                <w:sz w:val="16"/>
              </w:rPr>
              <w:t>Burkina Faso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FC0DD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7AC3DBD" w14:textId="77777777" w:rsidR="00286810" w:rsidRPr="00066710" w:rsidRDefault="00286810" w:rsidP="004877F2">
            <w:pPr>
              <w:jc w:val="right"/>
              <w:rPr>
                <w:rFonts w:cstheme="minorHAnsi"/>
                <w:color w:val="000000"/>
                <w:sz w:val="16"/>
                <w:szCs w:val="16"/>
              </w:rPr>
            </w:pPr>
            <w:r w:rsidRPr="00066710">
              <w:rPr>
                <w:color w:val="000000"/>
                <w:sz w:val="16"/>
              </w:rPr>
              <w:t>15.0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5C93175" w14:textId="77777777" w:rsidR="00286810" w:rsidRPr="00066710" w:rsidRDefault="00286810" w:rsidP="004877F2">
            <w:pPr>
              <w:jc w:val="right"/>
              <w:rPr>
                <w:rFonts w:cstheme="minorHAnsi"/>
                <w:color w:val="000000"/>
                <w:sz w:val="16"/>
                <w:szCs w:val="16"/>
              </w:rPr>
            </w:pPr>
            <w:r w:rsidRPr="00066710">
              <w:rPr>
                <w:color w:val="000000"/>
                <w:sz w:val="16"/>
              </w:rPr>
              <w:t>7.0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27B3F60" w14:textId="77777777" w:rsidR="00286810" w:rsidRPr="00066710" w:rsidRDefault="00286810" w:rsidP="004877F2">
            <w:pPr>
              <w:jc w:val="right"/>
              <w:rPr>
                <w:rFonts w:cstheme="minorHAnsi"/>
                <w:color w:val="000000"/>
                <w:sz w:val="16"/>
                <w:szCs w:val="16"/>
              </w:rPr>
            </w:pPr>
            <w:r w:rsidRPr="00066710">
              <w:rPr>
                <w:color w:val="000000"/>
                <w:sz w:val="16"/>
              </w:rPr>
              <w:t>-53.5</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3B38F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4053592" w14:textId="77777777" w:rsidR="00286810" w:rsidRPr="00066710" w:rsidRDefault="00286810" w:rsidP="004877F2">
            <w:pPr>
              <w:jc w:val="right"/>
              <w:rPr>
                <w:rFonts w:cstheme="minorHAnsi"/>
                <w:color w:val="000000"/>
                <w:sz w:val="16"/>
                <w:szCs w:val="16"/>
              </w:rPr>
            </w:pPr>
            <w:r w:rsidRPr="00066710">
              <w:rPr>
                <w:color w:val="000000"/>
                <w:sz w:val="16"/>
              </w:rPr>
              <w:t>40.7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E4F3B7" w14:textId="77777777" w:rsidR="00286810" w:rsidRPr="00066710" w:rsidRDefault="00286810" w:rsidP="004877F2">
            <w:pPr>
              <w:jc w:val="right"/>
              <w:rPr>
                <w:rFonts w:cstheme="minorHAnsi"/>
                <w:color w:val="000000"/>
                <w:sz w:val="16"/>
                <w:szCs w:val="16"/>
              </w:rPr>
            </w:pPr>
            <w:r w:rsidRPr="00066710">
              <w:rPr>
                <w:color w:val="000000"/>
                <w:sz w:val="16"/>
              </w:rPr>
              <w:t>122.0</w:t>
            </w:r>
          </w:p>
        </w:tc>
        <w:tc>
          <w:tcPr>
            <w:tcW w:w="670" w:type="dxa"/>
            <w:tcBorders>
              <w:top w:val="nil"/>
              <w:left w:val="nil"/>
              <w:bottom w:val="single" w:sz="4" w:space="0" w:color="FFFFFF" w:themeColor="background1"/>
              <w:right w:val="nil"/>
            </w:tcBorders>
            <w:shd w:val="clear" w:color="auto" w:fill="auto"/>
            <w:noWrap/>
            <w:vAlign w:val="bottom"/>
            <w:hideMark/>
          </w:tcPr>
          <w:p w14:paraId="68666681" w14:textId="77777777" w:rsidR="00286810" w:rsidRPr="00066710" w:rsidRDefault="00286810" w:rsidP="004877F2">
            <w:pPr>
              <w:jc w:val="right"/>
              <w:rPr>
                <w:rFonts w:cstheme="minorHAnsi"/>
                <w:color w:val="000000"/>
                <w:sz w:val="16"/>
                <w:szCs w:val="16"/>
              </w:rPr>
            </w:pPr>
            <w:r w:rsidRPr="00066710">
              <w:rPr>
                <w:color w:val="000000"/>
                <w:sz w:val="16"/>
              </w:rPr>
              <w:t>200.0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B775774" w14:textId="77777777" w:rsidR="00286810" w:rsidRPr="00066710" w:rsidRDefault="00286810" w:rsidP="004877F2">
            <w:pPr>
              <w:jc w:val="right"/>
              <w:rPr>
                <w:rFonts w:cstheme="minorHAnsi"/>
                <w:color w:val="000000"/>
                <w:sz w:val="16"/>
                <w:szCs w:val="16"/>
              </w:rPr>
            </w:pPr>
            <w:r w:rsidRPr="00066710">
              <w:rPr>
                <w:color w:val="000000"/>
                <w:sz w:val="16"/>
              </w:rPr>
              <w:t>1,748.7</w:t>
            </w:r>
          </w:p>
        </w:tc>
      </w:tr>
      <w:tr w:rsidR="00286810" w:rsidRPr="00066710" w14:paraId="6DBCDF8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4C1C52C" w14:textId="77777777" w:rsidR="00286810" w:rsidRPr="00066710" w:rsidRDefault="00286810" w:rsidP="004877F2">
            <w:pPr>
              <w:rPr>
                <w:rFonts w:cstheme="minorHAnsi"/>
                <w:color w:val="000000"/>
                <w:sz w:val="16"/>
                <w:szCs w:val="16"/>
              </w:rPr>
            </w:pPr>
            <w:r w:rsidRPr="00066710">
              <w:rPr>
                <w:color w:val="000000"/>
                <w:sz w:val="16"/>
              </w:rPr>
              <w:t>Serbia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8B5E3A7" w14:textId="77777777" w:rsidR="00286810" w:rsidRPr="00066710" w:rsidRDefault="00286810" w:rsidP="004877F2">
            <w:pPr>
              <w:jc w:val="right"/>
              <w:rPr>
                <w:rFonts w:cstheme="minorHAnsi"/>
                <w:color w:val="000000"/>
                <w:sz w:val="16"/>
                <w:szCs w:val="16"/>
              </w:rPr>
            </w:pPr>
            <w:r w:rsidRPr="00066710">
              <w:rPr>
                <w:color w:val="000000"/>
                <w:sz w:val="16"/>
              </w:rPr>
              <w:t>0.6</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4EB6020" w14:textId="77777777" w:rsidR="00286810" w:rsidRPr="00066710" w:rsidRDefault="00286810" w:rsidP="004877F2">
            <w:pPr>
              <w:jc w:val="right"/>
              <w:rPr>
                <w:rFonts w:cstheme="minorHAnsi"/>
                <w:color w:val="000000"/>
                <w:sz w:val="16"/>
                <w:szCs w:val="16"/>
              </w:rPr>
            </w:pPr>
            <w:r w:rsidRPr="00066710">
              <w:rPr>
                <w:color w:val="000000"/>
                <w:sz w:val="16"/>
              </w:rPr>
              <w:t>6,171.5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4D37907" w14:textId="77777777" w:rsidR="00286810" w:rsidRPr="00066710" w:rsidRDefault="00286810" w:rsidP="004877F2">
            <w:pPr>
              <w:jc w:val="right"/>
              <w:rPr>
                <w:rFonts w:cstheme="minorHAnsi"/>
                <w:color w:val="000000"/>
                <w:sz w:val="16"/>
                <w:szCs w:val="16"/>
              </w:rPr>
            </w:pPr>
            <w:r w:rsidRPr="00066710">
              <w:rPr>
                <w:color w:val="000000"/>
                <w:sz w:val="16"/>
              </w:rPr>
              <w:t>8,173.5</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FD6CD5E" w14:textId="77777777" w:rsidR="00286810" w:rsidRPr="00066710" w:rsidRDefault="00286810" w:rsidP="004877F2">
            <w:pPr>
              <w:jc w:val="right"/>
              <w:rPr>
                <w:rFonts w:cstheme="minorHAnsi"/>
                <w:color w:val="000000"/>
                <w:sz w:val="16"/>
                <w:szCs w:val="16"/>
              </w:rPr>
            </w:pPr>
            <w:r w:rsidRPr="00066710">
              <w:rPr>
                <w:color w:val="000000"/>
                <w:sz w:val="16"/>
              </w:rPr>
              <w:t>32.4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91887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2CCD57" w14:textId="77777777" w:rsidR="00286810" w:rsidRPr="00066710" w:rsidRDefault="00286810" w:rsidP="004877F2">
            <w:pPr>
              <w:jc w:val="right"/>
              <w:rPr>
                <w:rFonts w:cstheme="minorHAnsi"/>
                <w:color w:val="000000"/>
                <w:sz w:val="16"/>
                <w:szCs w:val="16"/>
              </w:rPr>
            </w:pPr>
            <w:r w:rsidRPr="00066710">
              <w:rPr>
                <w:color w:val="000000"/>
                <w:sz w:val="16"/>
              </w:rPr>
              <w:t>103.3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CE5E8B" w14:textId="77777777" w:rsidR="00286810" w:rsidRPr="00066710" w:rsidRDefault="00286810" w:rsidP="004877F2">
            <w:pPr>
              <w:jc w:val="right"/>
              <w:rPr>
                <w:rFonts w:cstheme="minorHAnsi"/>
                <w:color w:val="000000"/>
                <w:sz w:val="16"/>
                <w:szCs w:val="16"/>
              </w:rPr>
            </w:pPr>
            <w:r w:rsidRPr="00066710">
              <w:rPr>
                <w:color w:val="000000"/>
                <w:sz w:val="16"/>
              </w:rPr>
              <w:t>102.2</w:t>
            </w:r>
          </w:p>
        </w:tc>
        <w:tc>
          <w:tcPr>
            <w:tcW w:w="670" w:type="dxa"/>
            <w:tcBorders>
              <w:top w:val="nil"/>
              <w:left w:val="nil"/>
              <w:bottom w:val="single" w:sz="4" w:space="0" w:color="FFFFFF" w:themeColor="background1"/>
              <w:right w:val="nil"/>
            </w:tcBorders>
            <w:shd w:val="clear" w:color="auto" w:fill="auto"/>
            <w:noWrap/>
            <w:vAlign w:val="bottom"/>
            <w:hideMark/>
          </w:tcPr>
          <w:p w14:paraId="550DCF77" w14:textId="77777777" w:rsidR="00286810" w:rsidRPr="00066710" w:rsidRDefault="00286810" w:rsidP="004877F2">
            <w:pPr>
              <w:jc w:val="right"/>
              <w:rPr>
                <w:rFonts w:cstheme="minorHAnsi"/>
                <w:color w:val="000000"/>
                <w:sz w:val="16"/>
                <w:szCs w:val="16"/>
              </w:rPr>
            </w:pPr>
            <w:r w:rsidRPr="00066710">
              <w:rPr>
                <w:color w:val="000000"/>
                <w:sz w:val="16"/>
              </w:rPr>
              <w:t>-1.1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DCE153" w14:textId="77777777" w:rsidR="00286810" w:rsidRPr="00066710" w:rsidRDefault="00286810" w:rsidP="004877F2">
            <w:pPr>
              <w:jc w:val="right"/>
              <w:rPr>
                <w:rFonts w:cstheme="minorHAnsi"/>
                <w:color w:val="000000"/>
                <w:sz w:val="16"/>
                <w:szCs w:val="16"/>
              </w:rPr>
            </w:pPr>
            <w:r w:rsidRPr="00066710">
              <w:rPr>
                <w:color w:val="000000"/>
                <w:sz w:val="16"/>
              </w:rPr>
              <w:t>1.3</w:t>
            </w:r>
          </w:p>
        </w:tc>
      </w:tr>
      <w:tr w:rsidR="00286810" w:rsidRPr="00066710" w14:paraId="17A3C4C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1D7341B" w14:textId="77777777" w:rsidR="00286810" w:rsidRPr="00066710" w:rsidRDefault="00286810" w:rsidP="004877F2">
            <w:pPr>
              <w:rPr>
                <w:rFonts w:cstheme="minorHAnsi"/>
                <w:color w:val="000000"/>
                <w:sz w:val="16"/>
                <w:szCs w:val="16"/>
              </w:rPr>
            </w:pPr>
            <w:r w:rsidRPr="00066710">
              <w:rPr>
                <w:color w:val="000000"/>
                <w:sz w:val="16"/>
              </w:rPr>
              <w:t>Angola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7F6940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998939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D625B8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15D02F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47597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3F98ED" w14:textId="77777777" w:rsidR="00286810" w:rsidRPr="00066710" w:rsidRDefault="00286810" w:rsidP="004877F2">
            <w:pPr>
              <w:jc w:val="right"/>
              <w:rPr>
                <w:rFonts w:cstheme="minorHAnsi"/>
                <w:color w:val="000000"/>
                <w:sz w:val="16"/>
                <w:szCs w:val="16"/>
              </w:rPr>
            </w:pPr>
            <w:r w:rsidRPr="00066710">
              <w:rPr>
                <w:color w:val="000000"/>
                <w:sz w:val="16"/>
              </w:rPr>
              <w:t>278.6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DA7C9C" w14:textId="77777777" w:rsidR="00286810" w:rsidRPr="00066710" w:rsidRDefault="00286810" w:rsidP="004877F2">
            <w:pPr>
              <w:jc w:val="right"/>
              <w:rPr>
                <w:rFonts w:cstheme="minorHAnsi"/>
                <w:color w:val="000000"/>
                <w:sz w:val="16"/>
                <w:szCs w:val="16"/>
              </w:rPr>
            </w:pPr>
            <w:r w:rsidRPr="00066710">
              <w:rPr>
                <w:color w:val="000000"/>
                <w:sz w:val="16"/>
              </w:rPr>
              <w:t>100.3</w:t>
            </w:r>
          </w:p>
        </w:tc>
        <w:tc>
          <w:tcPr>
            <w:tcW w:w="670" w:type="dxa"/>
            <w:tcBorders>
              <w:top w:val="nil"/>
              <w:left w:val="nil"/>
              <w:bottom w:val="single" w:sz="4" w:space="0" w:color="FFFFFF" w:themeColor="background1"/>
              <w:right w:val="nil"/>
            </w:tcBorders>
            <w:shd w:val="clear" w:color="auto" w:fill="auto"/>
            <w:noWrap/>
            <w:vAlign w:val="bottom"/>
            <w:hideMark/>
          </w:tcPr>
          <w:p w14:paraId="66EB5592" w14:textId="77777777" w:rsidR="00286810" w:rsidRPr="00066710" w:rsidRDefault="00286810" w:rsidP="004877F2">
            <w:pPr>
              <w:jc w:val="right"/>
              <w:rPr>
                <w:rFonts w:cstheme="minorHAnsi"/>
                <w:color w:val="000000"/>
                <w:sz w:val="16"/>
                <w:szCs w:val="16"/>
              </w:rPr>
            </w:pPr>
            <w:r w:rsidRPr="00066710">
              <w:rPr>
                <w:color w:val="000000"/>
                <w:sz w:val="16"/>
              </w:rPr>
              <w:t>-64.0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D3EA744"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4061F81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0BFED12" w14:textId="77777777" w:rsidR="00286810" w:rsidRPr="00066710" w:rsidRDefault="00286810" w:rsidP="004877F2">
            <w:pPr>
              <w:rPr>
                <w:rFonts w:cstheme="minorHAnsi"/>
                <w:color w:val="000000"/>
                <w:sz w:val="16"/>
                <w:szCs w:val="16"/>
              </w:rPr>
            </w:pPr>
            <w:r w:rsidRPr="00066710">
              <w:rPr>
                <w:color w:val="000000"/>
                <w:sz w:val="16"/>
              </w:rPr>
              <w:t>Mali</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DF66D8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1D5CC4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209E5F5"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0C7A3A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DDE143"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178588" w14:textId="77777777" w:rsidR="00286810" w:rsidRPr="00066710" w:rsidRDefault="00286810" w:rsidP="004877F2">
            <w:pPr>
              <w:jc w:val="right"/>
              <w:rPr>
                <w:rFonts w:cstheme="minorHAnsi"/>
                <w:color w:val="000000"/>
                <w:sz w:val="16"/>
                <w:szCs w:val="16"/>
              </w:rPr>
            </w:pPr>
            <w:r w:rsidRPr="00066710">
              <w:rPr>
                <w:color w:val="000000"/>
                <w:sz w:val="16"/>
              </w:rPr>
              <w:t>30.1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6A831B" w14:textId="77777777" w:rsidR="00286810" w:rsidRPr="00066710" w:rsidRDefault="00286810" w:rsidP="004877F2">
            <w:pPr>
              <w:jc w:val="right"/>
              <w:rPr>
                <w:rFonts w:cstheme="minorHAnsi"/>
                <w:color w:val="000000"/>
                <w:sz w:val="16"/>
                <w:szCs w:val="16"/>
              </w:rPr>
            </w:pPr>
            <w:r w:rsidRPr="00066710">
              <w:rPr>
                <w:color w:val="000000"/>
                <w:sz w:val="16"/>
              </w:rPr>
              <w:t>99.9</w:t>
            </w:r>
          </w:p>
        </w:tc>
        <w:tc>
          <w:tcPr>
            <w:tcW w:w="670" w:type="dxa"/>
            <w:tcBorders>
              <w:top w:val="nil"/>
              <w:left w:val="nil"/>
              <w:bottom w:val="single" w:sz="4" w:space="0" w:color="FFFFFF" w:themeColor="background1"/>
              <w:right w:val="nil"/>
            </w:tcBorders>
            <w:shd w:val="clear" w:color="auto" w:fill="auto"/>
            <w:noWrap/>
            <w:vAlign w:val="bottom"/>
            <w:hideMark/>
          </w:tcPr>
          <w:p w14:paraId="3A346E56" w14:textId="77777777" w:rsidR="00286810" w:rsidRPr="00066710" w:rsidRDefault="00286810" w:rsidP="004877F2">
            <w:pPr>
              <w:jc w:val="right"/>
              <w:rPr>
                <w:rFonts w:cstheme="minorHAnsi"/>
                <w:color w:val="000000"/>
                <w:sz w:val="16"/>
                <w:szCs w:val="16"/>
              </w:rPr>
            </w:pPr>
            <w:r w:rsidRPr="00066710">
              <w:rPr>
                <w:color w:val="000000"/>
                <w:sz w:val="16"/>
              </w:rPr>
              <w:t>232.0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879B6AE" w14:textId="77777777" w:rsidR="00286810" w:rsidRPr="00066710" w:rsidRDefault="00286810" w:rsidP="004877F2">
            <w:pPr>
              <w:jc w:val="right"/>
              <w:rPr>
                <w:rFonts w:cstheme="minorHAnsi"/>
                <w:color w:val="000000"/>
                <w:sz w:val="16"/>
                <w:szCs w:val="16"/>
              </w:rPr>
            </w:pPr>
            <w:r w:rsidRPr="00066710">
              <w:rPr>
                <w:color w:val="000000"/>
                <w:sz w:val="16"/>
              </w:rPr>
              <w:t>46,247.2</w:t>
            </w:r>
          </w:p>
        </w:tc>
      </w:tr>
      <w:tr w:rsidR="00286810" w:rsidRPr="00066710" w14:paraId="09DBD5D6"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977841E" w14:textId="77777777" w:rsidR="00286810" w:rsidRPr="00066710" w:rsidRDefault="00286810" w:rsidP="004877F2">
            <w:pPr>
              <w:rPr>
                <w:rFonts w:cstheme="minorHAnsi"/>
                <w:color w:val="000000"/>
                <w:sz w:val="16"/>
                <w:szCs w:val="16"/>
              </w:rPr>
            </w:pPr>
            <w:r w:rsidRPr="00066710">
              <w:rPr>
                <w:color w:val="000000"/>
                <w:sz w:val="16"/>
              </w:rPr>
              <w:t>Kenya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9142CB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605578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5FCB6F5"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B039CB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49FC57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6632ED" w14:textId="77777777" w:rsidR="00286810" w:rsidRPr="00066710" w:rsidRDefault="00286810" w:rsidP="004877F2">
            <w:pPr>
              <w:jc w:val="right"/>
              <w:rPr>
                <w:rFonts w:cstheme="minorHAnsi"/>
                <w:color w:val="000000"/>
                <w:sz w:val="16"/>
                <w:szCs w:val="16"/>
              </w:rPr>
            </w:pPr>
            <w:r w:rsidRPr="00066710">
              <w:rPr>
                <w:color w:val="000000"/>
                <w:sz w:val="16"/>
              </w:rPr>
              <w:t>172.4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BBC94BF" w14:textId="77777777" w:rsidR="00286810" w:rsidRPr="00066710" w:rsidRDefault="00286810" w:rsidP="004877F2">
            <w:pPr>
              <w:jc w:val="right"/>
              <w:rPr>
                <w:rFonts w:cstheme="minorHAnsi"/>
                <w:color w:val="000000"/>
                <w:sz w:val="16"/>
                <w:szCs w:val="16"/>
              </w:rPr>
            </w:pPr>
            <w:r w:rsidRPr="00066710">
              <w:rPr>
                <w:color w:val="000000"/>
                <w:sz w:val="16"/>
              </w:rPr>
              <w:t>94.4</w:t>
            </w:r>
          </w:p>
        </w:tc>
        <w:tc>
          <w:tcPr>
            <w:tcW w:w="670" w:type="dxa"/>
            <w:tcBorders>
              <w:top w:val="nil"/>
              <w:left w:val="nil"/>
              <w:bottom w:val="single" w:sz="4" w:space="0" w:color="FFFFFF" w:themeColor="background1"/>
              <w:right w:val="nil"/>
            </w:tcBorders>
            <w:shd w:val="clear" w:color="auto" w:fill="auto"/>
            <w:noWrap/>
            <w:vAlign w:val="bottom"/>
            <w:hideMark/>
          </w:tcPr>
          <w:p w14:paraId="0CA35DC0" w14:textId="77777777" w:rsidR="00286810" w:rsidRPr="00066710" w:rsidRDefault="00286810" w:rsidP="004877F2">
            <w:pPr>
              <w:jc w:val="right"/>
              <w:rPr>
                <w:rFonts w:cstheme="minorHAnsi"/>
                <w:color w:val="000000"/>
                <w:sz w:val="16"/>
                <w:szCs w:val="16"/>
              </w:rPr>
            </w:pPr>
            <w:r w:rsidRPr="00066710">
              <w:rPr>
                <w:color w:val="000000"/>
                <w:sz w:val="16"/>
              </w:rPr>
              <w:t>-45.2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5033B0" w14:textId="77777777" w:rsidR="00286810" w:rsidRPr="00066710" w:rsidRDefault="00286810" w:rsidP="004877F2">
            <w:pPr>
              <w:jc w:val="right"/>
              <w:rPr>
                <w:rFonts w:cstheme="minorHAnsi"/>
                <w:color w:val="000000"/>
                <w:sz w:val="16"/>
                <w:szCs w:val="16"/>
              </w:rPr>
            </w:pPr>
            <w:r w:rsidRPr="00066710">
              <w:rPr>
                <w:color w:val="000000"/>
                <w:sz w:val="16"/>
              </w:rPr>
              <w:t>88,215.9</w:t>
            </w:r>
          </w:p>
        </w:tc>
      </w:tr>
      <w:tr w:rsidR="00286810" w:rsidRPr="00066710" w14:paraId="35FA8D4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1A71FA0" w14:textId="77777777" w:rsidR="00286810" w:rsidRPr="00066710" w:rsidRDefault="00286810" w:rsidP="004877F2">
            <w:pPr>
              <w:rPr>
                <w:rFonts w:cstheme="minorHAnsi"/>
                <w:color w:val="000000"/>
                <w:sz w:val="16"/>
                <w:szCs w:val="16"/>
              </w:rPr>
            </w:pPr>
            <w:r w:rsidRPr="00066710">
              <w:rPr>
                <w:color w:val="000000"/>
                <w:sz w:val="16"/>
              </w:rPr>
              <w:t>Mauritius</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750F66"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CDC807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23928D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5E101F1"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14771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294D21" w14:textId="77777777" w:rsidR="00286810" w:rsidRPr="00066710" w:rsidRDefault="00286810" w:rsidP="004877F2">
            <w:pPr>
              <w:jc w:val="right"/>
              <w:rPr>
                <w:rFonts w:cstheme="minorHAnsi"/>
                <w:color w:val="000000"/>
                <w:sz w:val="16"/>
                <w:szCs w:val="16"/>
              </w:rPr>
            </w:pPr>
            <w:r w:rsidRPr="00066710">
              <w:rPr>
                <w:color w:val="000000"/>
                <w:sz w:val="16"/>
              </w:rPr>
              <w:t>102.1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809F10" w14:textId="77777777" w:rsidR="00286810" w:rsidRPr="00066710" w:rsidRDefault="00286810" w:rsidP="004877F2">
            <w:pPr>
              <w:jc w:val="right"/>
              <w:rPr>
                <w:rFonts w:cstheme="minorHAnsi"/>
                <w:color w:val="000000"/>
                <w:sz w:val="16"/>
                <w:szCs w:val="16"/>
              </w:rPr>
            </w:pPr>
            <w:r w:rsidRPr="00066710">
              <w:rPr>
                <w:color w:val="000000"/>
                <w:sz w:val="16"/>
              </w:rPr>
              <w:t>92.4</w:t>
            </w:r>
          </w:p>
        </w:tc>
        <w:tc>
          <w:tcPr>
            <w:tcW w:w="670" w:type="dxa"/>
            <w:tcBorders>
              <w:top w:val="nil"/>
              <w:left w:val="nil"/>
              <w:bottom w:val="single" w:sz="4" w:space="0" w:color="FFFFFF" w:themeColor="background1"/>
              <w:right w:val="nil"/>
            </w:tcBorders>
            <w:shd w:val="clear" w:color="auto" w:fill="auto"/>
            <w:noWrap/>
            <w:vAlign w:val="bottom"/>
            <w:hideMark/>
          </w:tcPr>
          <w:p w14:paraId="40630BDE" w14:textId="77777777" w:rsidR="00286810" w:rsidRPr="00066710" w:rsidRDefault="00286810" w:rsidP="004877F2">
            <w:pPr>
              <w:jc w:val="right"/>
              <w:rPr>
                <w:rFonts w:cstheme="minorHAnsi"/>
                <w:color w:val="000000"/>
                <w:sz w:val="16"/>
                <w:szCs w:val="16"/>
              </w:rPr>
            </w:pPr>
            <w:r w:rsidRPr="00066710">
              <w:rPr>
                <w:color w:val="000000"/>
                <w:sz w:val="16"/>
              </w:rPr>
              <w:t>-9.6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2CB2295"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582BAFB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80B1D95" w14:textId="77777777" w:rsidR="00286810" w:rsidRPr="00066710" w:rsidRDefault="00286810" w:rsidP="004877F2">
            <w:pPr>
              <w:rPr>
                <w:rFonts w:cstheme="minorHAnsi"/>
                <w:color w:val="000000"/>
                <w:sz w:val="16"/>
                <w:szCs w:val="16"/>
              </w:rPr>
            </w:pPr>
            <w:r w:rsidRPr="00066710">
              <w:rPr>
                <w:color w:val="000000"/>
                <w:sz w:val="16"/>
              </w:rPr>
              <w:t>Bermuda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D7AC4D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9DDE1D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02DD35E" w14:textId="77777777" w:rsidR="00286810" w:rsidRPr="00066710" w:rsidRDefault="00286810" w:rsidP="004877F2">
            <w:pPr>
              <w:jc w:val="right"/>
              <w:rPr>
                <w:rFonts w:cstheme="minorHAnsi"/>
                <w:color w:val="000000"/>
                <w:sz w:val="16"/>
                <w:szCs w:val="16"/>
              </w:rPr>
            </w:pPr>
            <w:r w:rsidRPr="00066710">
              <w:rPr>
                <w:color w:val="000000"/>
                <w:sz w:val="16"/>
              </w:rPr>
              <w:t>0.2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91283F5"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5D1A6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CBD24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4F430A" w14:textId="77777777" w:rsidR="00286810" w:rsidRPr="00066710" w:rsidRDefault="00286810" w:rsidP="004877F2">
            <w:pPr>
              <w:jc w:val="right"/>
              <w:rPr>
                <w:rFonts w:cstheme="minorHAnsi"/>
                <w:color w:val="000000"/>
                <w:sz w:val="16"/>
                <w:szCs w:val="16"/>
              </w:rPr>
            </w:pPr>
            <w:r w:rsidRPr="00066710">
              <w:rPr>
                <w:color w:val="000000"/>
                <w:sz w:val="16"/>
              </w:rPr>
              <w:t>87.3</w:t>
            </w:r>
          </w:p>
        </w:tc>
        <w:tc>
          <w:tcPr>
            <w:tcW w:w="670" w:type="dxa"/>
            <w:tcBorders>
              <w:top w:val="nil"/>
              <w:left w:val="nil"/>
              <w:bottom w:val="single" w:sz="4" w:space="0" w:color="FFFFFF" w:themeColor="background1"/>
              <w:right w:val="nil"/>
            </w:tcBorders>
            <w:shd w:val="clear" w:color="auto" w:fill="auto"/>
            <w:noWrap/>
            <w:vAlign w:val="bottom"/>
            <w:hideMark/>
          </w:tcPr>
          <w:p w14:paraId="45CBAE8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1F326FE" w14:textId="77777777" w:rsidR="00286810" w:rsidRPr="00066710" w:rsidRDefault="00286810" w:rsidP="004877F2">
            <w:pPr>
              <w:jc w:val="right"/>
              <w:rPr>
                <w:rFonts w:cstheme="minorHAnsi"/>
                <w:color w:val="000000"/>
                <w:sz w:val="16"/>
                <w:szCs w:val="16"/>
              </w:rPr>
            </w:pPr>
            <w:r w:rsidRPr="00066710">
              <w:rPr>
                <w:color w:val="000000"/>
                <w:sz w:val="16"/>
              </w:rPr>
              <w:t>37,140.4</w:t>
            </w:r>
          </w:p>
        </w:tc>
      </w:tr>
      <w:tr w:rsidR="00286810" w:rsidRPr="00066710" w14:paraId="38D00A6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F0110B2" w14:textId="77777777" w:rsidR="00286810" w:rsidRPr="00066710" w:rsidRDefault="00286810" w:rsidP="004877F2">
            <w:pPr>
              <w:rPr>
                <w:rFonts w:cstheme="minorHAnsi"/>
                <w:color w:val="000000"/>
                <w:sz w:val="16"/>
                <w:szCs w:val="16"/>
              </w:rPr>
            </w:pPr>
            <w:r w:rsidRPr="00066710">
              <w:rPr>
                <w:color w:val="000000"/>
                <w:sz w:val="16"/>
              </w:rPr>
              <w:t>Mauritania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EA30E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162657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6DB100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D036E54"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AC81C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FFB9378" w14:textId="77777777" w:rsidR="00286810" w:rsidRPr="00066710" w:rsidRDefault="00286810" w:rsidP="004877F2">
            <w:pPr>
              <w:jc w:val="right"/>
              <w:rPr>
                <w:rFonts w:cstheme="minorHAnsi"/>
                <w:color w:val="000000"/>
                <w:sz w:val="16"/>
                <w:szCs w:val="16"/>
              </w:rPr>
            </w:pPr>
            <w:r w:rsidRPr="00066710">
              <w:rPr>
                <w:color w:val="000000"/>
                <w:sz w:val="16"/>
              </w:rPr>
              <w:t>72.3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555D2E" w14:textId="77777777" w:rsidR="00286810" w:rsidRPr="00066710" w:rsidRDefault="00286810" w:rsidP="004877F2">
            <w:pPr>
              <w:jc w:val="right"/>
              <w:rPr>
                <w:rFonts w:cstheme="minorHAnsi"/>
                <w:color w:val="000000"/>
                <w:sz w:val="16"/>
                <w:szCs w:val="16"/>
              </w:rPr>
            </w:pPr>
            <w:r w:rsidRPr="00066710">
              <w:rPr>
                <w:color w:val="000000"/>
                <w:sz w:val="16"/>
              </w:rPr>
              <w:t>85.1</w:t>
            </w:r>
          </w:p>
        </w:tc>
        <w:tc>
          <w:tcPr>
            <w:tcW w:w="670" w:type="dxa"/>
            <w:tcBorders>
              <w:top w:val="nil"/>
              <w:left w:val="nil"/>
              <w:bottom w:val="single" w:sz="4" w:space="0" w:color="FFFFFF" w:themeColor="background1"/>
              <w:right w:val="nil"/>
            </w:tcBorders>
            <w:shd w:val="clear" w:color="auto" w:fill="auto"/>
            <w:noWrap/>
            <w:vAlign w:val="bottom"/>
            <w:hideMark/>
          </w:tcPr>
          <w:p w14:paraId="62E4677B" w14:textId="77777777" w:rsidR="00286810" w:rsidRPr="00066710" w:rsidRDefault="00286810" w:rsidP="004877F2">
            <w:pPr>
              <w:jc w:val="right"/>
              <w:rPr>
                <w:rFonts w:cstheme="minorHAnsi"/>
                <w:color w:val="000000"/>
                <w:sz w:val="16"/>
                <w:szCs w:val="16"/>
              </w:rPr>
            </w:pPr>
            <w:r w:rsidRPr="00066710">
              <w:rPr>
                <w:color w:val="000000"/>
                <w:sz w:val="16"/>
              </w:rPr>
              <w:t>17.8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F62B53E"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08A2D488"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02AF2A6" w14:textId="77777777" w:rsidR="00286810" w:rsidRPr="00066710" w:rsidRDefault="00286810" w:rsidP="004877F2">
            <w:pPr>
              <w:rPr>
                <w:rFonts w:cstheme="minorHAnsi"/>
                <w:color w:val="000000"/>
                <w:sz w:val="16"/>
                <w:szCs w:val="16"/>
              </w:rPr>
            </w:pPr>
            <w:r w:rsidRPr="00066710">
              <w:rPr>
                <w:color w:val="000000"/>
                <w:sz w:val="16"/>
              </w:rPr>
              <w:t>Kuwait</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AB81C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09D8C7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722E31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06F8B40"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3E0D8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9A2135" w14:textId="77777777" w:rsidR="00286810" w:rsidRPr="00066710" w:rsidRDefault="00286810" w:rsidP="004877F2">
            <w:pPr>
              <w:jc w:val="right"/>
              <w:rPr>
                <w:rFonts w:cstheme="minorHAnsi"/>
                <w:color w:val="000000"/>
                <w:sz w:val="16"/>
                <w:szCs w:val="16"/>
              </w:rPr>
            </w:pPr>
            <w:r w:rsidRPr="00066710">
              <w:rPr>
                <w:color w:val="000000"/>
                <w:sz w:val="16"/>
              </w:rPr>
              <w:t>110.8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F898F6" w14:textId="77777777" w:rsidR="00286810" w:rsidRPr="00066710" w:rsidRDefault="00286810" w:rsidP="004877F2">
            <w:pPr>
              <w:jc w:val="right"/>
              <w:rPr>
                <w:rFonts w:cstheme="minorHAnsi"/>
                <w:color w:val="000000"/>
                <w:sz w:val="16"/>
                <w:szCs w:val="16"/>
              </w:rPr>
            </w:pPr>
            <w:r w:rsidRPr="00066710">
              <w:rPr>
                <w:color w:val="000000"/>
                <w:sz w:val="16"/>
              </w:rPr>
              <w:t>84.6</w:t>
            </w:r>
          </w:p>
        </w:tc>
        <w:tc>
          <w:tcPr>
            <w:tcW w:w="670" w:type="dxa"/>
            <w:tcBorders>
              <w:top w:val="nil"/>
              <w:left w:val="nil"/>
              <w:bottom w:val="single" w:sz="4" w:space="0" w:color="FFFFFF" w:themeColor="background1"/>
              <w:right w:val="nil"/>
            </w:tcBorders>
            <w:shd w:val="clear" w:color="auto" w:fill="auto"/>
            <w:noWrap/>
            <w:vAlign w:val="bottom"/>
            <w:hideMark/>
          </w:tcPr>
          <w:p w14:paraId="3C1103BD" w14:textId="77777777" w:rsidR="00286810" w:rsidRPr="00066710" w:rsidRDefault="00286810" w:rsidP="004877F2">
            <w:pPr>
              <w:jc w:val="right"/>
              <w:rPr>
                <w:rFonts w:cstheme="minorHAnsi"/>
                <w:color w:val="000000"/>
                <w:sz w:val="16"/>
                <w:szCs w:val="16"/>
              </w:rPr>
            </w:pPr>
            <w:r w:rsidRPr="00066710">
              <w:rPr>
                <w:color w:val="000000"/>
                <w:sz w:val="16"/>
              </w:rPr>
              <w:t>-23.6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3C9327D"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5F4CC5A6"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9C02744" w14:textId="77777777" w:rsidR="00286810" w:rsidRPr="00066710" w:rsidRDefault="00286810" w:rsidP="004877F2">
            <w:pPr>
              <w:rPr>
                <w:rFonts w:cstheme="minorHAnsi"/>
                <w:color w:val="000000"/>
                <w:sz w:val="16"/>
                <w:szCs w:val="16"/>
              </w:rPr>
            </w:pPr>
            <w:r w:rsidRPr="00066710">
              <w:rPr>
                <w:color w:val="000000"/>
                <w:sz w:val="16"/>
              </w:rPr>
              <w:t>Malaysia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BAF4EF2" w14:textId="77777777" w:rsidR="00286810" w:rsidRPr="00066710" w:rsidRDefault="00286810" w:rsidP="004877F2">
            <w:pPr>
              <w:jc w:val="right"/>
              <w:rPr>
                <w:rFonts w:cstheme="minorHAnsi"/>
                <w:color w:val="000000"/>
                <w:sz w:val="16"/>
                <w:szCs w:val="16"/>
              </w:rPr>
            </w:pPr>
            <w:r w:rsidRPr="00066710">
              <w:rPr>
                <w:color w:val="000000"/>
                <w:sz w:val="16"/>
              </w:rPr>
              <w:t>0.7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745B53" w14:textId="77777777" w:rsidR="00286810" w:rsidRPr="00066710" w:rsidRDefault="00286810" w:rsidP="004877F2">
            <w:pPr>
              <w:jc w:val="right"/>
              <w:rPr>
                <w:rFonts w:cstheme="minorHAnsi"/>
                <w:color w:val="000000"/>
                <w:sz w:val="16"/>
                <w:szCs w:val="16"/>
              </w:rPr>
            </w:pPr>
            <w:r w:rsidRPr="00066710">
              <w:rPr>
                <w:color w:val="000000"/>
                <w:sz w:val="16"/>
              </w:rPr>
              <w:t>8,143.1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DE06EF3" w14:textId="77777777" w:rsidR="00286810" w:rsidRPr="00066710" w:rsidRDefault="00286810" w:rsidP="004877F2">
            <w:pPr>
              <w:jc w:val="right"/>
              <w:rPr>
                <w:rFonts w:cstheme="minorHAnsi"/>
                <w:color w:val="000000"/>
                <w:sz w:val="16"/>
                <w:szCs w:val="16"/>
              </w:rPr>
            </w:pPr>
            <w:r w:rsidRPr="00066710">
              <w:rPr>
                <w:color w:val="000000"/>
                <w:sz w:val="16"/>
              </w:rPr>
              <w:t>10,094.9</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60D140D" w14:textId="77777777" w:rsidR="00286810" w:rsidRPr="00066710" w:rsidRDefault="00286810" w:rsidP="004877F2">
            <w:pPr>
              <w:jc w:val="right"/>
              <w:rPr>
                <w:rFonts w:cstheme="minorHAnsi"/>
                <w:color w:val="000000"/>
                <w:sz w:val="16"/>
                <w:szCs w:val="16"/>
              </w:rPr>
            </w:pPr>
            <w:r w:rsidRPr="00066710">
              <w:rPr>
                <w:color w:val="000000"/>
                <w:sz w:val="16"/>
              </w:rPr>
              <w:t>24.0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C7244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C7341F" w14:textId="77777777" w:rsidR="00286810" w:rsidRPr="00066710" w:rsidRDefault="00286810" w:rsidP="004877F2">
            <w:pPr>
              <w:jc w:val="right"/>
              <w:rPr>
                <w:rFonts w:cstheme="minorHAnsi"/>
                <w:color w:val="000000"/>
                <w:sz w:val="16"/>
                <w:szCs w:val="16"/>
              </w:rPr>
            </w:pPr>
            <w:r w:rsidRPr="00066710">
              <w:rPr>
                <w:color w:val="000000"/>
                <w:sz w:val="16"/>
              </w:rPr>
              <w:t>89.3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2766FF" w14:textId="77777777" w:rsidR="00286810" w:rsidRPr="00066710" w:rsidRDefault="00286810" w:rsidP="004877F2">
            <w:pPr>
              <w:jc w:val="right"/>
              <w:rPr>
                <w:rFonts w:cstheme="minorHAnsi"/>
                <w:color w:val="000000"/>
                <w:sz w:val="16"/>
                <w:szCs w:val="16"/>
              </w:rPr>
            </w:pPr>
            <w:r w:rsidRPr="00066710">
              <w:rPr>
                <w:color w:val="000000"/>
                <w:sz w:val="16"/>
              </w:rPr>
              <w:t>79.9</w:t>
            </w:r>
          </w:p>
        </w:tc>
        <w:tc>
          <w:tcPr>
            <w:tcW w:w="670" w:type="dxa"/>
            <w:tcBorders>
              <w:top w:val="nil"/>
              <w:left w:val="nil"/>
              <w:bottom w:val="single" w:sz="4" w:space="0" w:color="FFFFFF" w:themeColor="background1"/>
              <w:right w:val="nil"/>
            </w:tcBorders>
            <w:shd w:val="clear" w:color="auto" w:fill="auto"/>
            <w:noWrap/>
            <w:vAlign w:val="bottom"/>
            <w:hideMark/>
          </w:tcPr>
          <w:p w14:paraId="2BA72765" w14:textId="77777777" w:rsidR="00286810" w:rsidRPr="00066710" w:rsidRDefault="00286810" w:rsidP="004877F2">
            <w:pPr>
              <w:jc w:val="right"/>
              <w:rPr>
                <w:rFonts w:cstheme="minorHAnsi"/>
                <w:color w:val="000000"/>
                <w:sz w:val="16"/>
                <w:szCs w:val="16"/>
              </w:rPr>
            </w:pPr>
            <w:r w:rsidRPr="00066710">
              <w:rPr>
                <w:color w:val="000000"/>
                <w:sz w:val="16"/>
              </w:rPr>
              <w:t>-10.5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9F109A" w14:textId="77777777" w:rsidR="00286810" w:rsidRPr="00066710" w:rsidRDefault="00286810" w:rsidP="004877F2">
            <w:pPr>
              <w:jc w:val="right"/>
              <w:rPr>
                <w:rFonts w:cstheme="minorHAnsi"/>
                <w:color w:val="000000"/>
                <w:sz w:val="16"/>
                <w:szCs w:val="16"/>
              </w:rPr>
            </w:pPr>
            <w:r w:rsidRPr="00066710">
              <w:rPr>
                <w:color w:val="000000"/>
                <w:sz w:val="16"/>
              </w:rPr>
              <w:t>0.8</w:t>
            </w:r>
          </w:p>
        </w:tc>
      </w:tr>
      <w:tr w:rsidR="00286810" w:rsidRPr="00066710" w14:paraId="16D479A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F476C1D" w14:textId="77777777" w:rsidR="00286810" w:rsidRPr="00066710" w:rsidRDefault="00286810" w:rsidP="004877F2">
            <w:pPr>
              <w:rPr>
                <w:rFonts w:cstheme="minorHAnsi"/>
                <w:color w:val="000000"/>
                <w:sz w:val="16"/>
                <w:szCs w:val="16"/>
              </w:rPr>
            </w:pPr>
            <w:r w:rsidRPr="00066710">
              <w:rPr>
                <w:color w:val="000000"/>
                <w:sz w:val="16"/>
              </w:rPr>
              <w:t>Peru</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20B633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9E9DDD1" w14:textId="77777777" w:rsidR="00286810" w:rsidRPr="00066710" w:rsidRDefault="00286810" w:rsidP="004877F2">
            <w:pPr>
              <w:jc w:val="right"/>
              <w:rPr>
                <w:rFonts w:cstheme="minorHAnsi"/>
                <w:color w:val="000000"/>
                <w:sz w:val="16"/>
                <w:szCs w:val="16"/>
              </w:rPr>
            </w:pPr>
            <w:r w:rsidRPr="00066710">
              <w:rPr>
                <w:color w:val="000000"/>
                <w:sz w:val="16"/>
              </w:rPr>
              <w:t>1.0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BEF748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C56B544" w14:textId="77777777" w:rsidR="00286810" w:rsidRPr="00066710" w:rsidRDefault="00286810" w:rsidP="004877F2">
            <w:pPr>
              <w:jc w:val="right"/>
              <w:rPr>
                <w:rFonts w:cstheme="minorHAnsi"/>
                <w:color w:val="000000"/>
                <w:sz w:val="16"/>
                <w:szCs w:val="16"/>
              </w:rPr>
            </w:pPr>
            <w:r w:rsidRPr="00066710">
              <w:rPr>
                <w:color w:val="000000"/>
                <w:sz w:val="16"/>
              </w:rPr>
              <w:t>-97.3</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74B12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BD92B1" w14:textId="77777777" w:rsidR="00286810" w:rsidRPr="00066710" w:rsidRDefault="00286810" w:rsidP="004877F2">
            <w:pPr>
              <w:jc w:val="right"/>
              <w:rPr>
                <w:rFonts w:cstheme="minorHAnsi"/>
                <w:color w:val="000000"/>
                <w:sz w:val="16"/>
                <w:szCs w:val="16"/>
              </w:rPr>
            </w:pPr>
            <w:r w:rsidRPr="00066710">
              <w:rPr>
                <w:color w:val="000000"/>
                <w:sz w:val="16"/>
              </w:rPr>
              <w:t>87.0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B1627F" w14:textId="77777777" w:rsidR="00286810" w:rsidRPr="00066710" w:rsidRDefault="00286810" w:rsidP="004877F2">
            <w:pPr>
              <w:jc w:val="right"/>
              <w:rPr>
                <w:rFonts w:cstheme="minorHAnsi"/>
                <w:color w:val="000000"/>
                <w:sz w:val="16"/>
                <w:szCs w:val="16"/>
              </w:rPr>
            </w:pPr>
            <w:r w:rsidRPr="00066710">
              <w:rPr>
                <w:color w:val="000000"/>
                <w:sz w:val="16"/>
              </w:rPr>
              <w:t>78.2</w:t>
            </w:r>
          </w:p>
        </w:tc>
        <w:tc>
          <w:tcPr>
            <w:tcW w:w="670" w:type="dxa"/>
            <w:tcBorders>
              <w:top w:val="nil"/>
              <w:left w:val="nil"/>
              <w:bottom w:val="single" w:sz="4" w:space="0" w:color="FFFFFF" w:themeColor="background1"/>
              <w:right w:val="nil"/>
            </w:tcBorders>
            <w:shd w:val="clear" w:color="auto" w:fill="auto"/>
            <w:noWrap/>
            <w:vAlign w:val="bottom"/>
            <w:hideMark/>
          </w:tcPr>
          <w:p w14:paraId="3F1C85F1" w14:textId="77777777" w:rsidR="00286810" w:rsidRPr="00066710" w:rsidRDefault="00286810" w:rsidP="004877F2">
            <w:pPr>
              <w:jc w:val="right"/>
              <w:rPr>
                <w:rFonts w:cstheme="minorHAnsi"/>
                <w:color w:val="000000"/>
                <w:sz w:val="16"/>
                <w:szCs w:val="16"/>
              </w:rPr>
            </w:pPr>
            <w:r w:rsidRPr="00066710">
              <w:rPr>
                <w:color w:val="000000"/>
                <w:sz w:val="16"/>
              </w:rPr>
              <w:t>-10.0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4B464B" w14:textId="77777777" w:rsidR="00286810" w:rsidRPr="00066710" w:rsidRDefault="00286810" w:rsidP="004877F2">
            <w:pPr>
              <w:jc w:val="right"/>
              <w:rPr>
                <w:rFonts w:cstheme="minorHAnsi"/>
                <w:color w:val="000000"/>
                <w:sz w:val="16"/>
                <w:szCs w:val="16"/>
              </w:rPr>
            </w:pPr>
            <w:r w:rsidRPr="00066710">
              <w:rPr>
                <w:color w:val="000000"/>
                <w:sz w:val="16"/>
              </w:rPr>
              <w:t>289,796.3</w:t>
            </w:r>
          </w:p>
        </w:tc>
      </w:tr>
      <w:tr w:rsidR="00286810" w:rsidRPr="00066710" w14:paraId="61B6E4A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04AA273" w14:textId="77777777" w:rsidR="00286810" w:rsidRPr="00066710" w:rsidRDefault="00286810" w:rsidP="004877F2">
            <w:pPr>
              <w:rPr>
                <w:rFonts w:cstheme="minorHAnsi"/>
                <w:color w:val="000000"/>
                <w:sz w:val="16"/>
                <w:szCs w:val="16"/>
              </w:rPr>
            </w:pPr>
            <w:r w:rsidRPr="00066710">
              <w:rPr>
                <w:color w:val="000000"/>
                <w:sz w:val="16"/>
              </w:rPr>
              <w:t>Niger</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46FFD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0D31603"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D00184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7B0358E"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0379A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5ED92F" w14:textId="77777777" w:rsidR="00286810" w:rsidRPr="00066710" w:rsidRDefault="00286810" w:rsidP="004877F2">
            <w:pPr>
              <w:jc w:val="right"/>
              <w:rPr>
                <w:rFonts w:cstheme="minorHAnsi"/>
                <w:color w:val="000000"/>
                <w:sz w:val="16"/>
                <w:szCs w:val="16"/>
              </w:rPr>
            </w:pPr>
            <w:r w:rsidRPr="00066710">
              <w:rPr>
                <w:color w:val="000000"/>
                <w:sz w:val="16"/>
              </w:rPr>
              <w:t>42.1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BE878F" w14:textId="77777777" w:rsidR="00286810" w:rsidRPr="00066710" w:rsidRDefault="00286810" w:rsidP="004877F2">
            <w:pPr>
              <w:jc w:val="right"/>
              <w:rPr>
                <w:rFonts w:cstheme="minorHAnsi"/>
                <w:color w:val="000000"/>
                <w:sz w:val="16"/>
                <w:szCs w:val="16"/>
              </w:rPr>
            </w:pPr>
            <w:r w:rsidRPr="00066710">
              <w:rPr>
                <w:color w:val="000000"/>
                <w:sz w:val="16"/>
              </w:rPr>
              <w:t>73.9</w:t>
            </w:r>
          </w:p>
        </w:tc>
        <w:tc>
          <w:tcPr>
            <w:tcW w:w="670" w:type="dxa"/>
            <w:tcBorders>
              <w:top w:val="nil"/>
              <w:left w:val="nil"/>
              <w:bottom w:val="single" w:sz="4" w:space="0" w:color="FFFFFF" w:themeColor="background1"/>
              <w:right w:val="nil"/>
            </w:tcBorders>
            <w:shd w:val="clear" w:color="auto" w:fill="auto"/>
            <w:noWrap/>
            <w:vAlign w:val="bottom"/>
            <w:hideMark/>
          </w:tcPr>
          <w:p w14:paraId="4B636E96" w14:textId="77777777" w:rsidR="00286810" w:rsidRPr="00066710" w:rsidRDefault="00286810" w:rsidP="004877F2">
            <w:pPr>
              <w:jc w:val="right"/>
              <w:rPr>
                <w:rFonts w:cstheme="minorHAnsi"/>
                <w:color w:val="000000"/>
                <w:sz w:val="16"/>
                <w:szCs w:val="16"/>
              </w:rPr>
            </w:pPr>
            <w:r w:rsidRPr="00066710">
              <w:rPr>
                <w:color w:val="000000"/>
                <w:sz w:val="16"/>
              </w:rPr>
              <w:t>75.5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096513A"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0A772D6A"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06EB88E" w14:textId="77777777" w:rsidR="00286810" w:rsidRPr="00066710" w:rsidRDefault="00286810" w:rsidP="004877F2">
            <w:pPr>
              <w:rPr>
                <w:rFonts w:cstheme="minorHAnsi"/>
                <w:color w:val="000000"/>
                <w:sz w:val="16"/>
                <w:szCs w:val="16"/>
              </w:rPr>
            </w:pPr>
            <w:r w:rsidRPr="00066710">
              <w:rPr>
                <w:color w:val="000000"/>
                <w:sz w:val="16"/>
              </w:rPr>
              <w:t>Colombia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2AAE9E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1DC970B" w14:textId="77777777" w:rsidR="00286810" w:rsidRPr="00066710" w:rsidRDefault="00286810" w:rsidP="004877F2">
            <w:pPr>
              <w:jc w:val="right"/>
              <w:rPr>
                <w:rFonts w:cstheme="minorHAnsi"/>
                <w:color w:val="000000"/>
                <w:sz w:val="16"/>
                <w:szCs w:val="16"/>
              </w:rPr>
            </w:pPr>
            <w:r w:rsidRPr="00066710">
              <w:rPr>
                <w:color w:val="000000"/>
                <w:sz w:val="16"/>
              </w:rPr>
              <w:t>52.3</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69B3D2A" w14:textId="77777777" w:rsidR="00286810" w:rsidRPr="00066710" w:rsidRDefault="00286810" w:rsidP="004877F2">
            <w:pPr>
              <w:jc w:val="right"/>
              <w:rPr>
                <w:rFonts w:cstheme="minorHAnsi"/>
                <w:color w:val="000000"/>
                <w:sz w:val="16"/>
                <w:szCs w:val="16"/>
              </w:rPr>
            </w:pPr>
            <w:r w:rsidRPr="00066710">
              <w:rPr>
                <w:color w:val="000000"/>
                <w:sz w:val="16"/>
              </w:rPr>
              <w:t>48.1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C8648A1" w14:textId="77777777" w:rsidR="00286810" w:rsidRPr="00066710" w:rsidRDefault="00286810" w:rsidP="004877F2">
            <w:pPr>
              <w:jc w:val="right"/>
              <w:rPr>
                <w:rFonts w:cstheme="minorHAnsi"/>
                <w:color w:val="000000"/>
                <w:sz w:val="16"/>
                <w:szCs w:val="16"/>
              </w:rPr>
            </w:pPr>
            <w:r w:rsidRPr="00066710">
              <w:rPr>
                <w:color w:val="000000"/>
                <w:sz w:val="16"/>
              </w:rPr>
              <w:t>-8.0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9D103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83217C" w14:textId="77777777" w:rsidR="00286810" w:rsidRPr="00066710" w:rsidRDefault="00286810" w:rsidP="004877F2">
            <w:pPr>
              <w:jc w:val="right"/>
              <w:rPr>
                <w:rFonts w:cstheme="minorHAnsi"/>
                <w:color w:val="000000"/>
                <w:sz w:val="16"/>
                <w:szCs w:val="16"/>
              </w:rPr>
            </w:pPr>
            <w:r w:rsidRPr="00066710">
              <w:rPr>
                <w:color w:val="000000"/>
                <w:sz w:val="16"/>
              </w:rPr>
              <w:t>47.6</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A86B49" w14:textId="77777777" w:rsidR="00286810" w:rsidRPr="00066710" w:rsidRDefault="00286810" w:rsidP="004877F2">
            <w:pPr>
              <w:jc w:val="right"/>
              <w:rPr>
                <w:rFonts w:cstheme="minorHAnsi"/>
                <w:color w:val="000000"/>
                <w:sz w:val="16"/>
                <w:szCs w:val="16"/>
              </w:rPr>
            </w:pPr>
            <w:r w:rsidRPr="00066710">
              <w:rPr>
                <w:color w:val="000000"/>
                <w:sz w:val="16"/>
              </w:rPr>
              <w:t>73.8</w:t>
            </w:r>
          </w:p>
        </w:tc>
        <w:tc>
          <w:tcPr>
            <w:tcW w:w="670" w:type="dxa"/>
            <w:tcBorders>
              <w:top w:val="nil"/>
              <w:left w:val="nil"/>
              <w:bottom w:val="single" w:sz="4" w:space="0" w:color="FFFFFF" w:themeColor="background1"/>
              <w:right w:val="nil"/>
            </w:tcBorders>
            <w:shd w:val="clear" w:color="auto" w:fill="auto"/>
            <w:noWrap/>
            <w:vAlign w:val="bottom"/>
            <w:hideMark/>
          </w:tcPr>
          <w:p w14:paraId="4728B62C" w14:textId="77777777" w:rsidR="00286810" w:rsidRPr="00066710" w:rsidRDefault="00286810" w:rsidP="004877F2">
            <w:pPr>
              <w:jc w:val="right"/>
              <w:rPr>
                <w:rFonts w:cstheme="minorHAnsi"/>
                <w:color w:val="000000"/>
                <w:sz w:val="16"/>
                <w:szCs w:val="16"/>
              </w:rPr>
            </w:pPr>
            <w:r w:rsidRPr="00066710">
              <w:rPr>
                <w:color w:val="000000"/>
                <w:sz w:val="16"/>
              </w:rPr>
              <w:t>54.9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FE189FA" w14:textId="77777777" w:rsidR="00286810" w:rsidRPr="00066710" w:rsidRDefault="00286810" w:rsidP="004877F2">
            <w:pPr>
              <w:jc w:val="right"/>
              <w:rPr>
                <w:rFonts w:cstheme="minorHAnsi"/>
                <w:color w:val="000000"/>
                <w:sz w:val="16"/>
                <w:szCs w:val="16"/>
              </w:rPr>
            </w:pPr>
            <w:r w:rsidRPr="00066710">
              <w:rPr>
                <w:color w:val="000000"/>
                <w:sz w:val="16"/>
              </w:rPr>
              <w:t>153.4</w:t>
            </w:r>
          </w:p>
        </w:tc>
      </w:tr>
      <w:tr w:rsidR="00286810" w:rsidRPr="00066710" w14:paraId="11F54E6E"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915FD13" w14:textId="77777777" w:rsidR="00286810" w:rsidRPr="00066710" w:rsidRDefault="00286810" w:rsidP="004877F2">
            <w:pPr>
              <w:rPr>
                <w:rFonts w:cstheme="minorHAnsi"/>
                <w:color w:val="000000"/>
                <w:sz w:val="16"/>
                <w:szCs w:val="16"/>
              </w:rPr>
            </w:pPr>
            <w:r w:rsidRPr="00066710">
              <w:rPr>
                <w:color w:val="000000"/>
                <w:sz w:val="16"/>
              </w:rPr>
              <w:t>Cape Verde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B9A72E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F37002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C0EACB8" w14:textId="77777777" w:rsidR="00286810" w:rsidRPr="00066710" w:rsidRDefault="00286810" w:rsidP="004877F2">
            <w:pPr>
              <w:jc w:val="right"/>
              <w:rPr>
                <w:rFonts w:cstheme="minorHAnsi"/>
                <w:color w:val="000000"/>
                <w:sz w:val="16"/>
                <w:szCs w:val="16"/>
              </w:rPr>
            </w:pPr>
            <w:r w:rsidRPr="00066710">
              <w:rPr>
                <w:color w:val="000000"/>
                <w:sz w:val="16"/>
              </w:rPr>
              <w:t>32.7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A04D7C0"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D5B07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DFF5FD" w14:textId="77777777" w:rsidR="00286810" w:rsidRPr="00066710" w:rsidRDefault="00286810" w:rsidP="004877F2">
            <w:pPr>
              <w:jc w:val="right"/>
              <w:rPr>
                <w:rFonts w:cstheme="minorHAnsi"/>
                <w:color w:val="000000"/>
                <w:sz w:val="16"/>
                <w:szCs w:val="16"/>
              </w:rPr>
            </w:pPr>
            <w:r w:rsidRPr="00066710">
              <w:rPr>
                <w:color w:val="000000"/>
                <w:sz w:val="16"/>
              </w:rPr>
              <w:t>89.1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ECB132" w14:textId="77777777" w:rsidR="00286810" w:rsidRPr="00066710" w:rsidRDefault="00286810" w:rsidP="004877F2">
            <w:pPr>
              <w:jc w:val="right"/>
              <w:rPr>
                <w:rFonts w:cstheme="minorHAnsi"/>
                <w:color w:val="000000"/>
                <w:sz w:val="16"/>
                <w:szCs w:val="16"/>
              </w:rPr>
            </w:pPr>
            <w:r w:rsidRPr="00066710">
              <w:rPr>
                <w:color w:val="000000"/>
                <w:sz w:val="16"/>
              </w:rPr>
              <w:t>72.5</w:t>
            </w:r>
          </w:p>
        </w:tc>
        <w:tc>
          <w:tcPr>
            <w:tcW w:w="670" w:type="dxa"/>
            <w:tcBorders>
              <w:top w:val="nil"/>
              <w:left w:val="nil"/>
              <w:bottom w:val="single" w:sz="4" w:space="0" w:color="FFFFFF" w:themeColor="background1"/>
              <w:right w:val="nil"/>
            </w:tcBorders>
            <w:shd w:val="clear" w:color="auto" w:fill="auto"/>
            <w:noWrap/>
            <w:vAlign w:val="bottom"/>
            <w:hideMark/>
          </w:tcPr>
          <w:p w14:paraId="03568D2E" w14:textId="77777777" w:rsidR="00286810" w:rsidRPr="00066710" w:rsidRDefault="00286810" w:rsidP="004877F2">
            <w:pPr>
              <w:jc w:val="right"/>
              <w:rPr>
                <w:rFonts w:cstheme="minorHAnsi"/>
                <w:color w:val="000000"/>
                <w:sz w:val="16"/>
                <w:szCs w:val="16"/>
              </w:rPr>
            </w:pPr>
            <w:r w:rsidRPr="00066710">
              <w:rPr>
                <w:color w:val="000000"/>
                <w:sz w:val="16"/>
              </w:rPr>
              <w:t>-18.7</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A72D22A" w14:textId="77777777" w:rsidR="00286810" w:rsidRPr="00066710" w:rsidRDefault="00286810" w:rsidP="004877F2">
            <w:pPr>
              <w:jc w:val="right"/>
              <w:rPr>
                <w:rFonts w:cstheme="minorHAnsi"/>
                <w:color w:val="000000"/>
                <w:sz w:val="16"/>
                <w:szCs w:val="16"/>
              </w:rPr>
            </w:pPr>
            <w:r w:rsidRPr="00066710">
              <w:rPr>
                <w:color w:val="000000"/>
                <w:sz w:val="16"/>
              </w:rPr>
              <w:t>221.8</w:t>
            </w:r>
          </w:p>
        </w:tc>
      </w:tr>
      <w:tr w:rsidR="00286810" w:rsidRPr="00066710" w14:paraId="044D6E6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ACE9C25" w14:textId="77777777" w:rsidR="00286810" w:rsidRPr="00066710" w:rsidRDefault="00286810" w:rsidP="004877F2">
            <w:pPr>
              <w:rPr>
                <w:rFonts w:cstheme="minorHAnsi"/>
                <w:color w:val="000000"/>
                <w:sz w:val="16"/>
                <w:szCs w:val="16"/>
              </w:rPr>
            </w:pPr>
            <w:r w:rsidRPr="00066710">
              <w:rPr>
                <w:color w:val="000000"/>
                <w:sz w:val="16"/>
              </w:rPr>
              <w:t>Montenegro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348E42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E6656B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718443B" w14:textId="77777777" w:rsidR="00286810" w:rsidRPr="00066710" w:rsidRDefault="00286810" w:rsidP="004877F2">
            <w:pPr>
              <w:jc w:val="right"/>
              <w:rPr>
                <w:rFonts w:cstheme="minorHAnsi"/>
                <w:color w:val="000000"/>
                <w:sz w:val="16"/>
                <w:szCs w:val="16"/>
              </w:rPr>
            </w:pPr>
            <w:r w:rsidRPr="00066710">
              <w:rPr>
                <w:color w:val="000000"/>
                <w:sz w:val="16"/>
              </w:rPr>
              <w:t>2.4</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48FE37F1"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B4EE58"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287EFC" w14:textId="77777777" w:rsidR="00286810" w:rsidRPr="00066710" w:rsidRDefault="00286810" w:rsidP="004877F2">
            <w:pPr>
              <w:jc w:val="right"/>
              <w:rPr>
                <w:rFonts w:cstheme="minorHAnsi"/>
                <w:color w:val="000000"/>
                <w:sz w:val="16"/>
                <w:szCs w:val="16"/>
              </w:rPr>
            </w:pPr>
            <w:r w:rsidRPr="00066710">
              <w:rPr>
                <w:color w:val="000000"/>
                <w:sz w:val="16"/>
              </w:rPr>
              <w:t>1.5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9C5B4A" w14:textId="77777777" w:rsidR="00286810" w:rsidRPr="00066710" w:rsidRDefault="00286810" w:rsidP="004877F2">
            <w:pPr>
              <w:jc w:val="right"/>
              <w:rPr>
                <w:rFonts w:cstheme="minorHAnsi"/>
                <w:color w:val="000000"/>
                <w:sz w:val="16"/>
                <w:szCs w:val="16"/>
              </w:rPr>
            </w:pPr>
            <w:r w:rsidRPr="00066710">
              <w:rPr>
                <w:color w:val="000000"/>
                <w:sz w:val="16"/>
              </w:rPr>
              <w:t>69.8</w:t>
            </w:r>
          </w:p>
        </w:tc>
        <w:tc>
          <w:tcPr>
            <w:tcW w:w="670" w:type="dxa"/>
            <w:tcBorders>
              <w:top w:val="nil"/>
              <w:left w:val="nil"/>
              <w:bottom w:val="single" w:sz="4" w:space="0" w:color="FFFFFF" w:themeColor="background1"/>
              <w:right w:val="nil"/>
            </w:tcBorders>
            <w:shd w:val="clear" w:color="auto" w:fill="auto"/>
            <w:noWrap/>
            <w:vAlign w:val="bottom"/>
            <w:hideMark/>
          </w:tcPr>
          <w:p w14:paraId="44672C9B" w14:textId="77777777" w:rsidR="00286810" w:rsidRPr="00066710" w:rsidRDefault="00286810" w:rsidP="004877F2">
            <w:pPr>
              <w:jc w:val="right"/>
              <w:rPr>
                <w:rFonts w:cstheme="minorHAnsi"/>
                <w:color w:val="000000"/>
                <w:sz w:val="16"/>
                <w:szCs w:val="16"/>
              </w:rPr>
            </w:pPr>
            <w:r w:rsidRPr="00066710">
              <w:rPr>
                <w:color w:val="000000"/>
                <w:sz w:val="16"/>
              </w:rPr>
              <w:t>4,473.5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5270090" w14:textId="77777777" w:rsidR="00286810" w:rsidRPr="00066710" w:rsidRDefault="00286810" w:rsidP="004877F2">
            <w:pPr>
              <w:jc w:val="right"/>
              <w:rPr>
                <w:rFonts w:cstheme="minorHAnsi"/>
                <w:color w:val="000000"/>
                <w:sz w:val="16"/>
                <w:szCs w:val="16"/>
              </w:rPr>
            </w:pPr>
            <w:r w:rsidRPr="00066710">
              <w:rPr>
                <w:color w:val="000000"/>
                <w:sz w:val="16"/>
              </w:rPr>
              <w:t>2,934.4</w:t>
            </w:r>
          </w:p>
        </w:tc>
      </w:tr>
      <w:tr w:rsidR="00286810" w:rsidRPr="00066710" w14:paraId="3EACE7F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9903F74" w14:textId="77777777" w:rsidR="00286810" w:rsidRPr="00066710" w:rsidRDefault="00286810" w:rsidP="004877F2">
            <w:pPr>
              <w:rPr>
                <w:rFonts w:cstheme="minorHAnsi"/>
                <w:color w:val="000000"/>
                <w:sz w:val="16"/>
                <w:szCs w:val="16"/>
              </w:rPr>
            </w:pPr>
            <w:r w:rsidRPr="00066710">
              <w:rPr>
                <w:color w:val="000000"/>
                <w:sz w:val="16"/>
              </w:rPr>
              <w:lastRenderedPageBreak/>
              <w:t>Argentina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DDF122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1C8CAF9" w14:textId="77777777" w:rsidR="00286810" w:rsidRPr="00066710" w:rsidRDefault="00286810" w:rsidP="004877F2">
            <w:pPr>
              <w:jc w:val="right"/>
              <w:rPr>
                <w:rFonts w:cstheme="minorHAnsi"/>
                <w:color w:val="000000"/>
                <w:sz w:val="16"/>
                <w:szCs w:val="16"/>
              </w:rPr>
            </w:pPr>
            <w:r w:rsidRPr="00066710">
              <w:rPr>
                <w:color w:val="000000"/>
                <w:sz w:val="16"/>
              </w:rPr>
              <w:t>0.5</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1F73A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4A45BD4" w14:textId="77777777" w:rsidR="00286810" w:rsidRPr="00066710" w:rsidRDefault="00286810" w:rsidP="004877F2">
            <w:pPr>
              <w:jc w:val="right"/>
              <w:rPr>
                <w:rFonts w:cstheme="minorHAnsi"/>
                <w:color w:val="000000"/>
                <w:sz w:val="16"/>
                <w:szCs w:val="16"/>
              </w:rPr>
            </w:pPr>
            <w:r w:rsidRPr="00066710">
              <w:rPr>
                <w:color w:val="000000"/>
                <w:sz w:val="16"/>
              </w:rPr>
              <w:t>-100.0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63BA8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F74660" w14:textId="77777777" w:rsidR="00286810" w:rsidRPr="00066710" w:rsidRDefault="00286810" w:rsidP="004877F2">
            <w:pPr>
              <w:jc w:val="right"/>
              <w:rPr>
                <w:rFonts w:cstheme="minorHAnsi"/>
                <w:color w:val="000000"/>
                <w:sz w:val="16"/>
                <w:szCs w:val="16"/>
              </w:rPr>
            </w:pPr>
            <w:r w:rsidRPr="00066710">
              <w:rPr>
                <w:color w:val="000000"/>
                <w:sz w:val="16"/>
              </w:rPr>
              <w:t>79.4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53A458" w14:textId="77777777" w:rsidR="00286810" w:rsidRPr="00066710" w:rsidRDefault="00286810" w:rsidP="004877F2">
            <w:pPr>
              <w:jc w:val="right"/>
              <w:rPr>
                <w:rFonts w:cstheme="minorHAnsi"/>
                <w:color w:val="000000"/>
                <w:sz w:val="16"/>
                <w:szCs w:val="16"/>
              </w:rPr>
            </w:pPr>
            <w:r w:rsidRPr="00066710">
              <w:rPr>
                <w:color w:val="000000"/>
                <w:sz w:val="16"/>
              </w:rPr>
              <w:t>64.9</w:t>
            </w:r>
          </w:p>
        </w:tc>
        <w:tc>
          <w:tcPr>
            <w:tcW w:w="670" w:type="dxa"/>
            <w:tcBorders>
              <w:top w:val="nil"/>
              <w:left w:val="nil"/>
              <w:bottom w:val="single" w:sz="4" w:space="0" w:color="FFFFFF" w:themeColor="background1"/>
              <w:right w:val="nil"/>
            </w:tcBorders>
            <w:shd w:val="clear" w:color="auto" w:fill="auto"/>
            <w:noWrap/>
            <w:vAlign w:val="bottom"/>
            <w:hideMark/>
          </w:tcPr>
          <w:p w14:paraId="34D4AB25" w14:textId="77777777" w:rsidR="00286810" w:rsidRPr="00066710" w:rsidRDefault="00286810" w:rsidP="004877F2">
            <w:pPr>
              <w:jc w:val="right"/>
              <w:rPr>
                <w:rFonts w:cstheme="minorHAnsi"/>
                <w:color w:val="000000"/>
                <w:sz w:val="16"/>
                <w:szCs w:val="16"/>
              </w:rPr>
            </w:pPr>
            <w:r w:rsidRPr="00066710">
              <w:rPr>
                <w:color w:val="000000"/>
                <w:sz w:val="16"/>
              </w:rPr>
              <w:t>-18.3</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B688D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50A79714"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0A4ACCBD" w14:textId="77777777" w:rsidR="00286810" w:rsidRPr="00066710" w:rsidRDefault="00286810" w:rsidP="004877F2">
            <w:pPr>
              <w:rPr>
                <w:rFonts w:cstheme="minorHAnsi"/>
                <w:color w:val="000000"/>
                <w:sz w:val="16"/>
                <w:szCs w:val="16"/>
              </w:rPr>
            </w:pPr>
            <w:r w:rsidRPr="00066710">
              <w:rPr>
                <w:color w:val="000000"/>
                <w:sz w:val="16"/>
              </w:rPr>
              <w:t>Gambia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29D2D5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2E296F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9C73CF5"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B7A3CB4"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77739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09B775F" w14:textId="77777777" w:rsidR="00286810" w:rsidRPr="00066710" w:rsidRDefault="00286810" w:rsidP="004877F2">
            <w:pPr>
              <w:jc w:val="right"/>
              <w:rPr>
                <w:rFonts w:cstheme="minorHAnsi"/>
                <w:color w:val="000000"/>
                <w:sz w:val="16"/>
                <w:szCs w:val="16"/>
              </w:rPr>
            </w:pPr>
            <w:r w:rsidRPr="00066710">
              <w:rPr>
                <w:color w:val="000000"/>
                <w:sz w:val="16"/>
              </w:rPr>
              <w:t>106.8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3F64D5" w14:textId="77777777" w:rsidR="00286810" w:rsidRPr="00066710" w:rsidRDefault="00286810" w:rsidP="004877F2">
            <w:pPr>
              <w:jc w:val="right"/>
              <w:rPr>
                <w:rFonts w:cstheme="minorHAnsi"/>
                <w:color w:val="000000"/>
                <w:sz w:val="16"/>
                <w:szCs w:val="16"/>
              </w:rPr>
            </w:pPr>
            <w:r w:rsidRPr="00066710">
              <w:rPr>
                <w:color w:val="000000"/>
                <w:sz w:val="16"/>
              </w:rPr>
              <w:t>62.9</w:t>
            </w:r>
          </w:p>
        </w:tc>
        <w:tc>
          <w:tcPr>
            <w:tcW w:w="670" w:type="dxa"/>
            <w:tcBorders>
              <w:top w:val="nil"/>
              <w:left w:val="nil"/>
              <w:bottom w:val="single" w:sz="4" w:space="0" w:color="FFFFFF" w:themeColor="background1"/>
              <w:right w:val="nil"/>
            </w:tcBorders>
            <w:shd w:val="clear" w:color="auto" w:fill="auto"/>
            <w:noWrap/>
            <w:vAlign w:val="bottom"/>
            <w:hideMark/>
          </w:tcPr>
          <w:p w14:paraId="660C19BE" w14:textId="77777777" w:rsidR="00286810" w:rsidRPr="00066710" w:rsidRDefault="00286810" w:rsidP="004877F2">
            <w:pPr>
              <w:jc w:val="right"/>
              <w:rPr>
                <w:rFonts w:cstheme="minorHAnsi"/>
                <w:color w:val="000000"/>
                <w:sz w:val="16"/>
                <w:szCs w:val="16"/>
              </w:rPr>
            </w:pPr>
            <w:r w:rsidRPr="00066710">
              <w:rPr>
                <w:color w:val="000000"/>
                <w:sz w:val="16"/>
              </w:rPr>
              <w:t>-41.1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9446A1B"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44D45F8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485BAB1D" w14:textId="77777777" w:rsidR="00286810" w:rsidRPr="00066710" w:rsidRDefault="00286810" w:rsidP="004877F2">
            <w:pPr>
              <w:rPr>
                <w:rFonts w:cstheme="minorHAnsi"/>
                <w:color w:val="000000"/>
                <w:sz w:val="16"/>
                <w:szCs w:val="16"/>
              </w:rPr>
            </w:pPr>
            <w:r w:rsidRPr="00066710">
              <w:rPr>
                <w:color w:val="000000"/>
                <w:sz w:val="16"/>
              </w:rPr>
              <w:t xml:space="preserve">Congo (Brazzaville) </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FC050F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FF0423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F283FE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16272156"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36931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B6CC8D" w14:textId="77777777" w:rsidR="00286810" w:rsidRPr="00066710" w:rsidRDefault="00286810" w:rsidP="004877F2">
            <w:pPr>
              <w:jc w:val="right"/>
              <w:rPr>
                <w:rFonts w:cstheme="minorHAnsi"/>
                <w:color w:val="000000"/>
                <w:sz w:val="16"/>
                <w:szCs w:val="16"/>
              </w:rPr>
            </w:pPr>
            <w:r w:rsidRPr="00066710">
              <w:rPr>
                <w:color w:val="000000"/>
                <w:sz w:val="16"/>
              </w:rPr>
              <w:t>130.7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D2115E" w14:textId="77777777" w:rsidR="00286810" w:rsidRPr="00066710" w:rsidRDefault="00286810" w:rsidP="004877F2">
            <w:pPr>
              <w:jc w:val="right"/>
              <w:rPr>
                <w:rFonts w:cstheme="minorHAnsi"/>
                <w:color w:val="000000"/>
                <w:sz w:val="16"/>
                <w:szCs w:val="16"/>
              </w:rPr>
            </w:pPr>
            <w:r w:rsidRPr="00066710">
              <w:rPr>
                <w:color w:val="000000"/>
                <w:sz w:val="16"/>
              </w:rPr>
              <w:t>60.4</w:t>
            </w:r>
          </w:p>
        </w:tc>
        <w:tc>
          <w:tcPr>
            <w:tcW w:w="670" w:type="dxa"/>
            <w:tcBorders>
              <w:top w:val="nil"/>
              <w:left w:val="nil"/>
              <w:bottom w:val="single" w:sz="4" w:space="0" w:color="FFFFFF" w:themeColor="background1"/>
              <w:right w:val="nil"/>
            </w:tcBorders>
            <w:shd w:val="clear" w:color="auto" w:fill="auto"/>
            <w:noWrap/>
            <w:vAlign w:val="bottom"/>
            <w:hideMark/>
          </w:tcPr>
          <w:p w14:paraId="0EF11C51" w14:textId="77777777" w:rsidR="00286810" w:rsidRPr="00066710" w:rsidRDefault="00286810" w:rsidP="004877F2">
            <w:pPr>
              <w:jc w:val="right"/>
              <w:rPr>
                <w:rFonts w:cstheme="minorHAnsi"/>
                <w:color w:val="000000"/>
                <w:sz w:val="16"/>
                <w:szCs w:val="16"/>
              </w:rPr>
            </w:pPr>
            <w:r w:rsidRPr="00066710">
              <w:rPr>
                <w:color w:val="000000"/>
                <w:sz w:val="16"/>
              </w:rPr>
              <w:t>-53.8</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2D808BF"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18CC2D70"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2260A2B8" w14:textId="77777777" w:rsidR="00286810" w:rsidRPr="00066710" w:rsidRDefault="00286810" w:rsidP="004877F2">
            <w:pPr>
              <w:rPr>
                <w:rFonts w:cstheme="minorHAnsi"/>
                <w:color w:val="000000"/>
                <w:sz w:val="16"/>
                <w:szCs w:val="16"/>
              </w:rPr>
            </w:pPr>
            <w:r w:rsidRPr="00066710">
              <w:rPr>
                <w:color w:val="000000"/>
                <w:sz w:val="16"/>
              </w:rPr>
              <w:t>Madagascar</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4F31E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93B3D1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0A2ABA3"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B9F6CB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1ACD4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40D423" w14:textId="77777777" w:rsidR="00286810" w:rsidRPr="00066710" w:rsidRDefault="00286810" w:rsidP="004877F2">
            <w:pPr>
              <w:jc w:val="right"/>
              <w:rPr>
                <w:rFonts w:cstheme="minorHAnsi"/>
                <w:color w:val="000000"/>
                <w:sz w:val="16"/>
                <w:szCs w:val="16"/>
              </w:rPr>
            </w:pPr>
            <w:r w:rsidRPr="00066710">
              <w:rPr>
                <w:color w:val="000000"/>
                <w:sz w:val="16"/>
              </w:rPr>
              <w:t>40.4</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170BEC" w14:textId="77777777" w:rsidR="00286810" w:rsidRPr="00066710" w:rsidRDefault="00286810" w:rsidP="004877F2">
            <w:pPr>
              <w:jc w:val="right"/>
              <w:rPr>
                <w:rFonts w:cstheme="minorHAnsi"/>
                <w:color w:val="000000"/>
                <w:sz w:val="16"/>
                <w:szCs w:val="16"/>
              </w:rPr>
            </w:pPr>
            <w:r w:rsidRPr="00066710">
              <w:rPr>
                <w:color w:val="000000"/>
                <w:sz w:val="16"/>
              </w:rPr>
              <w:t>59.7</w:t>
            </w:r>
          </w:p>
        </w:tc>
        <w:tc>
          <w:tcPr>
            <w:tcW w:w="670" w:type="dxa"/>
            <w:tcBorders>
              <w:top w:val="nil"/>
              <w:left w:val="nil"/>
              <w:bottom w:val="single" w:sz="4" w:space="0" w:color="FFFFFF" w:themeColor="background1"/>
              <w:right w:val="nil"/>
            </w:tcBorders>
            <w:shd w:val="clear" w:color="auto" w:fill="auto"/>
            <w:noWrap/>
            <w:vAlign w:val="bottom"/>
            <w:hideMark/>
          </w:tcPr>
          <w:p w14:paraId="763121F7" w14:textId="77777777" w:rsidR="00286810" w:rsidRPr="00066710" w:rsidRDefault="00286810" w:rsidP="004877F2">
            <w:pPr>
              <w:jc w:val="right"/>
              <w:rPr>
                <w:rFonts w:cstheme="minorHAnsi"/>
                <w:color w:val="000000"/>
                <w:sz w:val="16"/>
                <w:szCs w:val="16"/>
              </w:rPr>
            </w:pPr>
            <w:r w:rsidRPr="00066710">
              <w:rPr>
                <w:color w:val="000000"/>
                <w:sz w:val="16"/>
              </w:rPr>
              <w:t>47.6</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5F0FAA3"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77E033B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BF7DC94" w14:textId="77777777" w:rsidR="00286810" w:rsidRPr="00066710" w:rsidRDefault="00286810" w:rsidP="004877F2">
            <w:pPr>
              <w:rPr>
                <w:rFonts w:cstheme="minorHAnsi"/>
                <w:color w:val="000000"/>
                <w:sz w:val="16"/>
                <w:szCs w:val="16"/>
              </w:rPr>
            </w:pPr>
            <w:r w:rsidRPr="00066710">
              <w:rPr>
                <w:color w:val="000000"/>
                <w:sz w:val="16"/>
              </w:rPr>
              <w:t>Barbados</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ED61121"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55BE01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00B1195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526EF6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BB54D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B22B82" w14:textId="77777777" w:rsidR="00286810" w:rsidRPr="00066710" w:rsidRDefault="00286810" w:rsidP="004877F2">
            <w:pPr>
              <w:jc w:val="right"/>
              <w:rPr>
                <w:rFonts w:cstheme="minorHAnsi"/>
                <w:color w:val="000000"/>
                <w:sz w:val="16"/>
                <w:szCs w:val="16"/>
              </w:rPr>
            </w:pPr>
            <w:r w:rsidRPr="00066710">
              <w:rPr>
                <w:color w:val="000000"/>
                <w:sz w:val="16"/>
              </w:rPr>
              <w:t>7.8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3BFE55" w14:textId="77777777" w:rsidR="00286810" w:rsidRPr="00066710" w:rsidRDefault="00286810" w:rsidP="004877F2">
            <w:pPr>
              <w:jc w:val="right"/>
              <w:rPr>
                <w:rFonts w:cstheme="minorHAnsi"/>
                <w:color w:val="000000"/>
                <w:sz w:val="16"/>
                <w:szCs w:val="16"/>
              </w:rPr>
            </w:pPr>
            <w:r w:rsidRPr="00066710">
              <w:rPr>
                <w:color w:val="000000"/>
                <w:sz w:val="16"/>
              </w:rPr>
              <w:t>59.5</w:t>
            </w:r>
          </w:p>
        </w:tc>
        <w:tc>
          <w:tcPr>
            <w:tcW w:w="670" w:type="dxa"/>
            <w:tcBorders>
              <w:top w:val="nil"/>
              <w:left w:val="nil"/>
              <w:bottom w:val="single" w:sz="4" w:space="0" w:color="FFFFFF" w:themeColor="background1"/>
              <w:right w:val="nil"/>
            </w:tcBorders>
            <w:shd w:val="clear" w:color="auto" w:fill="auto"/>
            <w:noWrap/>
            <w:vAlign w:val="bottom"/>
            <w:hideMark/>
          </w:tcPr>
          <w:p w14:paraId="2898D022" w14:textId="77777777" w:rsidR="00286810" w:rsidRPr="00066710" w:rsidRDefault="00286810" w:rsidP="004877F2">
            <w:pPr>
              <w:jc w:val="right"/>
              <w:rPr>
                <w:rFonts w:cstheme="minorHAnsi"/>
                <w:color w:val="000000"/>
                <w:sz w:val="16"/>
                <w:szCs w:val="16"/>
              </w:rPr>
            </w:pPr>
            <w:r w:rsidRPr="00066710">
              <w:rPr>
                <w:color w:val="000000"/>
                <w:sz w:val="16"/>
              </w:rPr>
              <w:t>664.5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975663F"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1F8A1FD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F2CA920" w14:textId="77777777" w:rsidR="00286810" w:rsidRPr="00066710" w:rsidRDefault="00286810" w:rsidP="004877F2">
            <w:pPr>
              <w:rPr>
                <w:rFonts w:cstheme="minorHAnsi"/>
                <w:color w:val="000000"/>
                <w:sz w:val="16"/>
                <w:szCs w:val="16"/>
              </w:rPr>
            </w:pPr>
            <w:r w:rsidRPr="00066710">
              <w:rPr>
                <w:color w:val="000000"/>
                <w:sz w:val="16"/>
              </w:rPr>
              <w:t>Uruguay</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F6132E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EEB832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C12DC23" w14:textId="77777777" w:rsidR="00286810" w:rsidRPr="00066710" w:rsidRDefault="00286810" w:rsidP="004877F2">
            <w:pPr>
              <w:jc w:val="right"/>
              <w:rPr>
                <w:rFonts w:cstheme="minorHAnsi"/>
                <w:color w:val="000000"/>
                <w:sz w:val="16"/>
                <w:szCs w:val="16"/>
              </w:rPr>
            </w:pPr>
            <w:r w:rsidRPr="00066710">
              <w:rPr>
                <w:color w:val="000000"/>
                <w:sz w:val="16"/>
              </w:rPr>
              <w:t>2.0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5A93FF75"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BC160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A6D5CE" w14:textId="77777777" w:rsidR="00286810" w:rsidRPr="00066710" w:rsidRDefault="00286810" w:rsidP="004877F2">
            <w:pPr>
              <w:jc w:val="right"/>
              <w:rPr>
                <w:rFonts w:cstheme="minorHAnsi"/>
                <w:color w:val="000000"/>
                <w:sz w:val="16"/>
                <w:szCs w:val="16"/>
              </w:rPr>
            </w:pPr>
            <w:r w:rsidRPr="00066710">
              <w:rPr>
                <w:color w:val="000000"/>
                <w:sz w:val="16"/>
              </w:rPr>
              <w:t>305.1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64F4A9" w14:textId="77777777" w:rsidR="00286810" w:rsidRPr="00066710" w:rsidRDefault="00286810" w:rsidP="004877F2">
            <w:pPr>
              <w:jc w:val="right"/>
              <w:rPr>
                <w:rFonts w:cstheme="minorHAnsi"/>
                <w:color w:val="000000"/>
                <w:sz w:val="16"/>
                <w:szCs w:val="16"/>
              </w:rPr>
            </w:pPr>
            <w:r w:rsidRPr="00066710">
              <w:rPr>
                <w:color w:val="000000"/>
                <w:sz w:val="16"/>
              </w:rPr>
              <w:t>58.1</w:t>
            </w:r>
          </w:p>
        </w:tc>
        <w:tc>
          <w:tcPr>
            <w:tcW w:w="670" w:type="dxa"/>
            <w:tcBorders>
              <w:top w:val="nil"/>
              <w:left w:val="nil"/>
              <w:bottom w:val="single" w:sz="4" w:space="0" w:color="FFFFFF" w:themeColor="background1"/>
              <w:right w:val="nil"/>
            </w:tcBorders>
            <w:shd w:val="clear" w:color="auto" w:fill="auto"/>
            <w:noWrap/>
            <w:vAlign w:val="bottom"/>
            <w:hideMark/>
          </w:tcPr>
          <w:p w14:paraId="070AD369" w14:textId="77777777" w:rsidR="00286810" w:rsidRPr="00066710" w:rsidRDefault="00286810" w:rsidP="004877F2">
            <w:pPr>
              <w:jc w:val="right"/>
              <w:rPr>
                <w:rFonts w:cstheme="minorHAnsi"/>
                <w:color w:val="000000"/>
                <w:sz w:val="16"/>
                <w:szCs w:val="16"/>
              </w:rPr>
            </w:pPr>
            <w:r w:rsidRPr="00066710">
              <w:rPr>
                <w:color w:val="000000"/>
                <w:sz w:val="16"/>
              </w:rPr>
              <w:t>-81.0</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55D18B8" w14:textId="77777777" w:rsidR="00286810" w:rsidRPr="00066710" w:rsidRDefault="00286810" w:rsidP="004877F2">
            <w:pPr>
              <w:jc w:val="right"/>
              <w:rPr>
                <w:rFonts w:cstheme="minorHAnsi"/>
                <w:color w:val="000000"/>
                <w:sz w:val="16"/>
                <w:szCs w:val="16"/>
              </w:rPr>
            </w:pPr>
            <w:r w:rsidRPr="00066710">
              <w:rPr>
                <w:color w:val="000000"/>
                <w:sz w:val="16"/>
              </w:rPr>
              <w:t>2,928.0</w:t>
            </w:r>
          </w:p>
        </w:tc>
      </w:tr>
      <w:tr w:rsidR="00286810" w:rsidRPr="00066710" w14:paraId="57B77711"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0F347A8" w14:textId="77777777" w:rsidR="00286810" w:rsidRPr="00066710" w:rsidRDefault="00286810" w:rsidP="004877F2">
            <w:pPr>
              <w:rPr>
                <w:rFonts w:cstheme="minorHAnsi"/>
                <w:color w:val="000000"/>
                <w:sz w:val="16"/>
                <w:szCs w:val="16"/>
              </w:rPr>
            </w:pPr>
            <w:r w:rsidRPr="00066710">
              <w:rPr>
                <w:color w:val="000000"/>
                <w:sz w:val="16"/>
              </w:rPr>
              <w:t>Macedonia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010AA6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A654DD6" w14:textId="77777777" w:rsidR="00286810" w:rsidRPr="00066710" w:rsidRDefault="00286810" w:rsidP="004877F2">
            <w:pPr>
              <w:jc w:val="right"/>
              <w:rPr>
                <w:rFonts w:cstheme="minorHAnsi"/>
                <w:color w:val="000000"/>
                <w:sz w:val="16"/>
                <w:szCs w:val="16"/>
              </w:rPr>
            </w:pPr>
            <w:r w:rsidRPr="00066710">
              <w:rPr>
                <w:color w:val="000000"/>
                <w:sz w:val="16"/>
              </w:rPr>
              <w:t>549.9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1B67FB96" w14:textId="77777777" w:rsidR="00286810" w:rsidRPr="00066710" w:rsidRDefault="00286810" w:rsidP="004877F2">
            <w:pPr>
              <w:jc w:val="right"/>
              <w:rPr>
                <w:rFonts w:cstheme="minorHAnsi"/>
                <w:color w:val="000000"/>
                <w:sz w:val="16"/>
                <w:szCs w:val="16"/>
              </w:rPr>
            </w:pPr>
            <w:r w:rsidRPr="00066710">
              <w:rPr>
                <w:color w:val="000000"/>
                <w:sz w:val="16"/>
              </w:rPr>
              <w:t>549.1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7F2B723E"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CAC30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A91CB1" w14:textId="77777777" w:rsidR="00286810" w:rsidRPr="00066710" w:rsidRDefault="00286810" w:rsidP="004877F2">
            <w:pPr>
              <w:jc w:val="right"/>
              <w:rPr>
                <w:rFonts w:cstheme="minorHAnsi"/>
                <w:color w:val="000000"/>
                <w:sz w:val="16"/>
                <w:szCs w:val="16"/>
              </w:rPr>
            </w:pPr>
            <w:r w:rsidRPr="00066710">
              <w:rPr>
                <w:color w:val="000000"/>
                <w:sz w:val="16"/>
              </w:rPr>
              <w:t>318.3</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BE85C6" w14:textId="77777777" w:rsidR="00286810" w:rsidRPr="00066710" w:rsidRDefault="00286810" w:rsidP="004877F2">
            <w:pPr>
              <w:jc w:val="right"/>
              <w:rPr>
                <w:rFonts w:cstheme="minorHAnsi"/>
                <w:color w:val="000000"/>
                <w:sz w:val="16"/>
                <w:szCs w:val="16"/>
              </w:rPr>
            </w:pPr>
            <w:r w:rsidRPr="00066710">
              <w:rPr>
                <w:color w:val="000000"/>
                <w:sz w:val="16"/>
              </w:rPr>
              <w:t>56.9</w:t>
            </w:r>
          </w:p>
        </w:tc>
        <w:tc>
          <w:tcPr>
            <w:tcW w:w="670" w:type="dxa"/>
            <w:tcBorders>
              <w:top w:val="nil"/>
              <w:left w:val="nil"/>
              <w:bottom w:val="single" w:sz="4" w:space="0" w:color="FFFFFF" w:themeColor="background1"/>
              <w:right w:val="nil"/>
            </w:tcBorders>
            <w:shd w:val="clear" w:color="auto" w:fill="auto"/>
            <w:noWrap/>
            <w:vAlign w:val="bottom"/>
            <w:hideMark/>
          </w:tcPr>
          <w:p w14:paraId="771EBDBD" w14:textId="77777777" w:rsidR="00286810" w:rsidRPr="00066710" w:rsidRDefault="00286810" w:rsidP="004877F2">
            <w:pPr>
              <w:jc w:val="right"/>
              <w:rPr>
                <w:rFonts w:cstheme="minorHAnsi"/>
                <w:color w:val="000000"/>
                <w:sz w:val="16"/>
                <w:szCs w:val="16"/>
              </w:rPr>
            </w:pPr>
            <w:r w:rsidRPr="00066710">
              <w:rPr>
                <w:color w:val="000000"/>
                <w:sz w:val="16"/>
              </w:rPr>
              <w:t>-82.1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162006E" w14:textId="77777777" w:rsidR="00286810" w:rsidRPr="00066710" w:rsidRDefault="00286810" w:rsidP="004877F2">
            <w:pPr>
              <w:jc w:val="right"/>
              <w:rPr>
                <w:rFonts w:cstheme="minorHAnsi"/>
                <w:color w:val="000000"/>
                <w:sz w:val="16"/>
                <w:szCs w:val="16"/>
              </w:rPr>
            </w:pPr>
            <w:r w:rsidRPr="00066710">
              <w:rPr>
                <w:color w:val="000000"/>
                <w:sz w:val="16"/>
              </w:rPr>
              <w:t>10.4</w:t>
            </w:r>
          </w:p>
        </w:tc>
      </w:tr>
      <w:tr w:rsidR="00286810" w:rsidRPr="00066710" w14:paraId="6103E2B9"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345FB1CD" w14:textId="77777777" w:rsidR="00286810" w:rsidRPr="00066710" w:rsidRDefault="00286810" w:rsidP="004877F2">
            <w:pPr>
              <w:rPr>
                <w:rFonts w:cstheme="minorHAnsi"/>
                <w:color w:val="000000"/>
                <w:sz w:val="16"/>
                <w:szCs w:val="16"/>
              </w:rPr>
            </w:pPr>
            <w:r w:rsidRPr="00066710">
              <w:rPr>
                <w:color w:val="000000"/>
                <w:sz w:val="16"/>
              </w:rPr>
              <w:t>Kosovo</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634CB28"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2629486" w14:textId="77777777" w:rsidR="00286810" w:rsidRPr="00066710" w:rsidRDefault="00286810" w:rsidP="004877F2">
            <w:pPr>
              <w:jc w:val="right"/>
              <w:rPr>
                <w:rFonts w:cstheme="minorHAnsi"/>
                <w:color w:val="000000"/>
                <w:sz w:val="16"/>
                <w:szCs w:val="16"/>
              </w:rPr>
            </w:pPr>
            <w:r w:rsidRPr="00066710">
              <w:rPr>
                <w:color w:val="000000"/>
                <w:sz w:val="16"/>
              </w:rPr>
              <w:t>602.9</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AE8AE19" w14:textId="77777777" w:rsidR="00286810" w:rsidRPr="00066710" w:rsidRDefault="00286810" w:rsidP="004877F2">
            <w:pPr>
              <w:jc w:val="right"/>
              <w:rPr>
                <w:rFonts w:cstheme="minorHAnsi"/>
                <w:color w:val="000000"/>
                <w:sz w:val="16"/>
                <w:szCs w:val="16"/>
              </w:rPr>
            </w:pPr>
            <w:r w:rsidRPr="00066710">
              <w:rPr>
                <w:color w:val="000000"/>
                <w:sz w:val="16"/>
              </w:rPr>
              <w:t>934.6</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2B6BD19F" w14:textId="77777777" w:rsidR="00286810" w:rsidRPr="00066710" w:rsidRDefault="00286810" w:rsidP="004877F2">
            <w:pPr>
              <w:jc w:val="right"/>
              <w:rPr>
                <w:rFonts w:cstheme="minorHAnsi"/>
                <w:color w:val="000000"/>
                <w:sz w:val="16"/>
                <w:szCs w:val="16"/>
              </w:rPr>
            </w:pPr>
            <w:r w:rsidRPr="00066710">
              <w:rPr>
                <w:color w:val="000000"/>
                <w:sz w:val="16"/>
              </w:rPr>
              <w:t>55.0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5580C0"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39243D" w14:textId="77777777" w:rsidR="00286810" w:rsidRPr="00066710" w:rsidRDefault="00286810" w:rsidP="004877F2">
            <w:pPr>
              <w:jc w:val="right"/>
              <w:rPr>
                <w:rFonts w:cstheme="minorHAnsi"/>
                <w:color w:val="000000"/>
                <w:sz w:val="16"/>
                <w:szCs w:val="16"/>
              </w:rPr>
            </w:pPr>
            <w:r w:rsidRPr="00066710">
              <w:rPr>
                <w:color w:val="000000"/>
                <w:sz w:val="16"/>
              </w:rPr>
              <w:t>67.0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2FED81" w14:textId="77777777" w:rsidR="00286810" w:rsidRPr="00066710" w:rsidRDefault="00286810" w:rsidP="004877F2">
            <w:pPr>
              <w:jc w:val="right"/>
              <w:rPr>
                <w:rFonts w:cstheme="minorHAnsi"/>
                <w:color w:val="000000"/>
                <w:sz w:val="16"/>
                <w:szCs w:val="16"/>
              </w:rPr>
            </w:pPr>
            <w:r w:rsidRPr="00066710">
              <w:rPr>
                <w:color w:val="000000"/>
                <w:sz w:val="16"/>
              </w:rPr>
              <w:t>56.4</w:t>
            </w:r>
          </w:p>
        </w:tc>
        <w:tc>
          <w:tcPr>
            <w:tcW w:w="670" w:type="dxa"/>
            <w:tcBorders>
              <w:top w:val="nil"/>
              <w:left w:val="nil"/>
              <w:bottom w:val="single" w:sz="4" w:space="0" w:color="FFFFFF" w:themeColor="background1"/>
              <w:right w:val="nil"/>
            </w:tcBorders>
            <w:shd w:val="clear" w:color="auto" w:fill="auto"/>
            <w:noWrap/>
            <w:vAlign w:val="bottom"/>
            <w:hideMark/>
          </w:tcPr>
          <w:p w14:paraId="55B77AA7" w14:textId="77777777" w:rsidR="00286810" w:rsidRPr="00066710" w:rsidRDefault="00286810" w:rsidP="004877F2">
            <w:pPr>
              <w:jc w:val="right"/>
              <w:rPr>
                <w:rFonts w:cstheme="minorHAnsi"/>
                <w:color w:val="000000"/>
                <w:sz w:val="16"/>
                <w:szCs w:val="16"/>
              </w:rPr>
            </w:pPr>
            <w:r w:rsidRPr="00066710">
              <w:rPr>
                <w:color w:val="000000"/>
                <w:sz w:val="16"/>
              </w:rPr>
              <w:t>-15.9</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AE93E31" w14:textId="77777777" w:rsidR="00286810" w:rsidRPr="00066710" w:rsidRDefault="00286810" w:rsidP="004877F2">
            <w:pPr>
              <w:jc w:val="right"/>
              <w:rPr>
                <w:rFonts w:cstheme="minorHAnsi"/>
                <w:color w:val="000000"/>
                <w:sz w:val="16"/>
                <w:szCs w:val="16"/>
              </w:rPr>
            </w:pPr>
            <w:r w:rsidRPr="00066710">
              <w:rPr>
                <w:color w:val="000000"/>
                <w:sz w:val="16"/>
              </w:rPr>
              <w:t>6.0</w:t>
            </w:r>
          </w:p>
        </w:tc>
      </w:tr>
      <w:tr w:rsidR="00286810" w:rsidRPr="00066710" w14:paraId="269925B3"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6D1DB609" w14:textId="77777777" w:rsidR="00286810" w:rsidRPr="00066710" w:rsidRDefault="00286810" w:rsidP="004877F2">
            <w:pPr>
              <w:rPr>
                <w:rFonts w:cstheme="minorHAnsi"/>
                <w:color w:val="000000"/>
                <w:sz w:val="16"/>
                <w:szCs w:val="16"/>
              </w:rPr>
            </w:pPr>
            <w:r w:rsidRPr="00066710">
              <w:rPr>
                <w:color w:val="000000"/>
                <w:sz w:val="16"/>
              </w:rPr>
              <w:t>Philippines</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7DD6784"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3D8EA53" w14:textId="77777777" w:rsidR="00286810" w:rsidRPr="00066710" w:rsidRDefault="00286810" w:rsidP="004877F2">
            <w:pPr>
              <w:jc w:val="right"/>
              <w:rPr>
                <w:rFonts w:cstheme="minorHAnsi"/>
                <w:color w:val="000000"/>
                <w:sz w:val="16"/>
                <w:szCs w:val="16"/>
              </w:rPr>
            </w:pPr>
            <w:r w:rsidRPr="00066710">
              <w:rPr>
                <w:color w:val="000000"/>
                <w:sz w:val="16"/>
              </w:rPr>
              <w:t>313.7</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3A254E8" w14:textId="77777777" w:rsidR="00286810" w:rsidRPr="00066710" w:rsidRDefault="00286810" w:rsidP="004877F2">
            <w:pPr>
              <w:jc w:val="right"/>
              <w:rPr>
                <w:rFonts w:cstheme="minorHAnsi"/>
                <w:color w:val="000000"/>
                <w:sz w:val="16"/>
                <w:szCs w:val="16"/>
              </w:rPr>
            </w:pPr>
            <w:r w:rsidRPr="00066710">
              <w:rPr>
                <w:color w:val="000000"/>
                <w:sz w:val="16"/>
              </w:rPr>
              <w:t>293.7</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5A031B4" w14:textId="77777777" w:rsidR="00286810" w:rsidRPr="00066710" w:rsidRDefault="00286810" w:rsidP="004877F2">
            <w:pPr>
              <w:jc w:val="right"/>
              <w:rPr>
                <w:rFonts w:cstheme="minorHAnsi"/>
                <w:color w:val="000000"/>
                <w:sz w:val="16"/>
                <w:szCs w:val="16"/>
              </w:rPr>
            </w:pPr>
            <w:r w:rsidRPr="00066710">
              <w:rPr>
                <w:color w:val="000000"/>
                <w:sz w:val="16"/>
              </w:rPr>
              <w:t>-6.4</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9FB60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17437A" w14:textId="77777777" w:rsidR="00286810" w:rsidRPr="00066710" w:rsidRDefault="00286810" w:rsidP="004877F2">
            <w:pPr>
              <w:jc w:val="right"/>
              <w:rPr>
                <w:rFonts w:cstheme="minorHAnsi"/>
                <w:color w:val="000000"/>
                <w:sz w:val="16"/>
                <w:szCs w:val="16"/>
              </w:rPr>
            </w:pPr>
            <w:r w:rsidRPr="00066710">
              <w:rPr>
                <w:color w:val="000000"/>
                <w:sz w:val="16"/>
              </w:rPr>
              <w:t>47.1</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844862" w14:textId="77777777" w:rsidR="00286810" w:rsidRPr="00066710" w:rsidRDefault="00286810" w:rsidP="004877F2">
            <w:pPr>
              <w:jc w:val="right"/>
              <w:rPr>
                <w:rFonts w:cstheme="minorHAnsi"/>
                <w:color w:val="000000"/>
                <w:sz w:val="16"/>
                <w:szCs w:val="16"/>
              </w:rPr>
            </w:pPr>
            <w:r w:rsidRPr="00066710">
              <w:rPr>
                <w:color w:val="000000"/>
                <w:sz w:val="16"/>
              </w:rPr>
              <w:t>53.5</w:t>
            </w:r>
          </w:p>
        </w:tc>
        <w:tc>
          <w:tcPr>
            <w:tcW w:w="670" w:type="dxa"/>
            <w:tcBorders>
              <w:top w:val="nil"/>
              <w:left w:val="nil"/>
              <w:bottom w:val="single" w:sz="4" w:space="0" w:color="FFFFFF" w:themeColor="background1"/>
              <w:right w:val="nil"/>
            </w:tcBorders>
            <w:shd w:val="clear" w:color="auto" w:fill="auto"/>
            <w:noWrap/>
            <w:vAlign w:val="bottom"/>
            <w:hideMark/>
          </w:tcPr>
          <w:p w14:paraId="23D99FC3" w14:textId="77777777" w:rsidR="00286810" w:rsidRPr="00066710" w:rsidRDefault="00286810" w:rsidP="004877F2">
            <w:pPr>
              <w:jc w:val="right"/>
              <w:rPr>
                <w:rFonts w:cstheme="minorHAnsi"/>
                <w:color w:val="000000"/>
                <w:sz w:val="16"/>
                <w:szCs w:val="16"/>
              </w:rPr>
            </w:pPr>
            <w:r w:rsidRPr="00066710">
              <w:rPr>
                <w:color w:val="000000"/>
                <w:sz w:val="16"/>
              </w:rPr>
              <w:t>13.5</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D2C33E" w14:textId="77777777" w:rsidR="00286810" w:rsidRPr="00066710" w:rsidRDefault="00286810" w:rsidP="004877F2">
            <w:pPr>
              <w:jc w:val="right"/>
              <w:rPr>
                <w:rFonts w:cstheme="minorHAnsi"/>
                <w:color w:val="000000"/>
                <w:sz w:val="16"/>
                <w:szCs w:val="16"/>
              </w:rPr>
            </w:pPr>
            <w:r w:rsidRPr="00066710">
              <w:rPr>
                <w:color w:val="000000"/>
                <w:sz w:val="16"/>
              </w:rPr>
              <w:t>18.2</w:t>
            </w:r>
          </w:p>
        </w:tc>
      </w:tr>
      <w:tr w:rsidR="00286810" w:rsidRPr="00066710" w14:paraId="2834F70D"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C480763" w14:textId="77777777" w:rsidR="00286810" w:rsidRPr="00066710" w:rsidRDefault="00286810" w:rsidP="004877F2">
            <w:pPr>
              <w:rPr>
                <w:rFonts w:cstheme="minorHAnsi"/>
                <w:color w:val="000000"/>
                <w:sz w:val="16"/>
                <w:szCs w:val="16"/>
              </w:rPr>
            </w:pPr>
            <w:r w:rsidRPr="00066710">
              <w:rPr>
                <w:color w:val="000000"/>
                <w:sz w:val="16"/>
              </w:rPr>
              <w:t>Tunisia</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50461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C9ECEFA" w14:textId="77777777" w:rsidR="00286810" w:rsidRPr="00066710" w:rsidRDefault="00286810" w:rsidP="004877F2">
            <w:pPr>
              <w:jc w:val="right"/>
              <w:rPr>
                <w:rFonts w:cstheme="minorHAnsi"/>
                <w:color w:val="000000"/>
                <w:sz w:val="16"/>
                <w:szCs w:val="16"/>
              </w:rPr>
            </w:pPr>
            <w:r w:rsidRPr="00066710">
              <w:rPr>
                <w:color w:val="000000"/>
                <w:sz w:val="16"/>
              </w:rPr>
              <w:t>13.8</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2377441C" w14:textId="77777777" w:rsidR="00286810" w:rsidRPr="00066710" w:rsidRDefault="00286810" w:rsidP="004877F2">
            <w:pPr>
              <w:jc w:val="right"/>
              <w:rPr>
                <w:rFonts w:cstheme="minorHAnsi"/>
                <w:color w:val="000000"/>
                <w:sz w:val="16"/>
                <w:szCs w:val="16"/>
              </w:rPr>
            </w:pPr>
            <w:r w:rsidRPr="00066710">
              <w:rPr>
                <w:color w:val="000000"/>
                <w:sz w:val="16"/>
              </w:rPr>
              <w:t>9.1</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317CA03E" w14:textId="77777777" w:rsidR="00286810" w:rsidRPr="00066710" w:rsidRDefault="00286810" w:rsidP="004877F2">
            <w:pPr>
              <w:jc w:val="right"/>
              <w:rPr>
                <w:rFonts w:cstheme="minorHAnsi"/>
                <w:color w:val="000000"/>
                <w:sz w:val="16"/>
                <w:szCs w:val="16"/>
              </w:rPr>
            </w:pPr>
            <w:r w:rsidRPr="00066710">
              <w:rPr>
                <w:color w:val="000000"/>
                <w:sz w:val="16"/>
              </w:rPr>
              <w:t>-34.2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1C3B99"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272496" w14:textId="77777777" w:rsidR="00286810" w:rsidRPr="00066710" w:rsidRDefault="00286810" w:rsidP="004877F2">
            <w:pPr>
              <w:jc w:val="right"/>
              <w:rPr>
                <w:rFonts w:cstheme="minorHAnsi"/>
                <w:color w:val="000000"/>
                <w:sz w:val="16"/>
                <w:szCs w:val="16"/>
              </w:rPr>
            </w:pPr>
            <w:r w:rsidRPr="00066710">
              <w:rPr>
                <w:color w:val="000000"/>
                <w:sz w:val="16"/>
              </w:rPr>
              <w:t>44.2</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B37DB0" w14:textId="77777777" w:rsidR="00286810" w:rsidRPr="00066710" w:rsidRDefault="00286810" w:rsidP="004877F2">
            <w:pPr>
              <w:jc w:val="right"/>
              <w:rPr>
                <w:rFonts w:cstheme="minorHAnsi"/>
                <w:color w:val="000000"/>
                <w:sz w:val="16"/>
                <w:szCs w:val="16"/>
              </w:rPr>
            </w:pPr>
            <w:r w:rsidRPr="00066710">
              <w:rPr>
                <w:color w:val="000000"/>
                <w:sz w:val="16"/>
              </w:rPr>
              <w:t>49.6</w:t>
            </w:r>
          </w:p>
        </w:tc>
        <w:tc>
          <w:tcPr>
            <w:tcW w:w="670" w:type="dxa"/>
            <w:tcBorders>
              <w:top w:val="nil"/>
              <w:left w:val="nil"/>
              <w:bottom w:val="single" w:sz="4" w:space="0" w:color="FFFFFF" w:themeColor="background1"/>
              <w:right w:val="nil"/>
            </w:tcBorders>
            <w:shd w:val="clear" w:color="auto" w:fill="auto"/>
            <w:noWrap/>
            <w:vAlign w:val="bottom"/>
            <w:hideMark/>
          </w:tcPr>
          <w:p w14:paraId="07E991B2" w14:textId="77777777" w:rsidR="00286810" w:rsidRPr="00066710" w:rsidRDefault="00286810" w:rsidP="004877F2">
            <w:pPr>
              <w:jc w:val="right"/>
              <w:rPr>
                <w:rFonts w:cstheme="minorHAnsi"/>
                <w:color w:val="000000"/>
                <w:sz w:val="16"/>
                <w:szCs w:val="16"/>
              </w:rPr>
            </w:pPr>
            <w:r w:rsidRPr="00066710">
              <w:rPr>
                <w:color w:val="000000"/>
                <w:sz w:val="16"/>
              </w:rPr>
              <w:t>12.4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6871B74" w14:textId="77777777" w:rsidR="00286810" w:rsidRPr="00066710" w:rsidRDefault="00286810" w:rsidP="004877F2">
            <w:pPr>
              <w:jc w:val="right"/>
              <w:rPr>
                <w:rFonts w:cstheme="minorHAnsi"/>
                <w:color w:val="000000"/>
                <w:sz w:val="16"/>
                <w:szCs w:val="16"/>
              </w:rPr>
            </w:pPr>
            <w:r w:rsidRPr="00066710">
              <w:rPr>
                <w:color w:val="000000"/>
                <w:sz w:val="16"/>
              </w:rPr>
              <w:t>548.3</w:t>
            </w:r>
          </w:p>
        </w:tc>
      </w:tr>
      <w:tr w:rsidR="00286810" w:rsidRPr="00066710" w14:paraId="418CFDC9"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12F67342" w14:textId="77777777" w:rsidR="00286810" w:rsidRPr="00066710" w:rsidRDefault="00286810" w:rsidP="004877F2">
            <w:pPr>
              <w:rPr>
                <w:rFonts w:cstheme="minorHAnsi"/>
                <w:color w:val="000000"/>
                <w:sz w:val="16"/>
                <w:szCs w:val="16"/>
              </w:rPr>
            </w:pPr>
            <w:r w:rsidRPr="00066710">
              <w:rPr>
                <w:color w:val="000000"/>
                <w:sz w:val="16"/>
              </w:rPr>
              <w:t>Ukraine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B07409" w14:textId="77777777" w:rsidR="00286810" w:rsidRPr="00066710" w:rsidRDefault="00286810" w:rsidP="004877F2">
            <w:pPr>
              <w:jc w:val="right"/>
              <w:rPr>
                <w:rFonts w:cstheme="minorHAnsi"/>
                <w:color w:val="000000"/>
                <w:sz w:val="16"/>
                <w:szCs w:val="16"/>
              </w:rPr>
            </w:pPr>
            <w:r w:rsidRPr="00066710">
              <w:rPr>
                <w:color w:val="000000"/>
                <w:sz w:val="16"/>
              </w:rPr>
              <w:t>0.8</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3603490" w14:textId="77777777" w:rsidR="00286810" w:rsidRPr="00066710" w:rsidRDefault="00286810" w:rsidP="004877F2">
            <w:pPr>
              <w:jc w:val="right"/>
              <w:rPr>
                <w:rFonts w:cstheme="minorHAnsi"/>
                <w:color w:val="000000"/>
                <w:sz w:val="16"/>
                <w:szCs w:val="16"/>
              </w:rPr>
            </w:pPr>
            <w:r w:rsidRPr="00066710">
              <w:rPr>
                <w:color w:val="000000"/>
                <w:sz w:val="16"/>
              </w:rPr>
              <w:t>12,112.1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4CCD7A76" w14:textId="77777777" w:rsidR="00286810" w:rsidRPr="00066710" w:rsidRDefault="00286810" w:rsidP="004877F2">
            <w:pPr>
              <w:jc w:val="right"/>
              <w:rPr>
                <w:rFonts w:cstheme="minorHAnsi"/>
                <w:color w:val="000000"/>
                <w:sz w:val="16"/>
                <w:szCs w:val="16"/>
              </w:rPr>
            </w:pPr>
            <w:r w:rsidRPr="00066710">
              <w:rPr>
                <w:color w:val="000000"/>
                <w:sz w:val="16"/>
              </w:rPr>
              <w:t>11,236.2</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01DFEE57" w14:textId="77777777" w:rsidR="00286810" w:rsidRPr="00066710" w:rsidRDefault="00286810" w:rsidP="004877F2">
            <w:pPr>
              <w:jc w:val="right"/>
              <w:rPr>
                <w:rFonts w:cstheme="minorHAnsi"/>
                <w:color w:val="000000"/>
                <w:sz w:val="16"/>
                <w:szCs w:val="16"/>
              </w:rPr>
            </w:pPr>
            <w:r w:rsidRPr="00066710">
              <w:rPr>
                <w:color w:val="000000"/>
                <w:sz w:val="16"/>
              </w:rPr>
              <w:t>-7.2</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C7418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2A4558" w14:textId="77777777" w:rsidR="00286810" w:rsidRPr="00066710" w:rsidRDefault="00286810" w:rsidP="004877F2">
            <w:pPr>
              <w:jc w:val="right"/>
              <w:rPr>
                <w:rFonts w:cstheme="minorHAnsi"/>
                <w:color w:val="000000"/>
                <w:sz w:val="16"/>
                <w:szCs w:val="16"/>
              </w:rPr>
            </w:pPr>
            <w:r w:rsidRPr="00066710">
              <w:rPr>
                <w:color w:val="000000"/>
                <w:sz w:val="16"/>
              </w:rPr>
              <w:t>237.5</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B31541" w14:textId="77777777" w:rsidR="00286810" w:rsidRPr="00066710" w:rsidRDefault="00286810" w:rsidP="004877F2">
            <w:pPr>
              <w:jc w:val="right"/>
              <w:rPr>
                <w:rFonts w:cstheme="minorHAnsi"/>
                <w:color w:val="000000"/>
                <w:sz w:val="16"/>
                <w:szCs w:val="16"/>
              </w:rPr>
            </w:pPr>
            <w:r w:rsidRPr="00066710">
              <w:rPr>
                <w:color w:val="000000"/>
                <w:sz w:val="16"/>
              </w:rPr>
              <w:t>49.5</w:t>
            </w:r>
          </w:p>
        </w:tc>
        <w:tc>
          <w:tcPr>
            <w:tcW w:w="670" w:type="dxa"/>
            <w:tcBorders>
              <w:top w:val="nil"/>
              <w:left w:val="nil"/>
              <w:bottom w:val="single" w:sz="4" w:space="0" w:color="FFFFFF" w:themeColor="background1"/>
              <w:right w:val="nil"/>
            </w:tcBorders>
            <w:shd w:val="clear" w:color="auto" w:fill="auto"/>
            <w:noWrap/>
            <w:vAlign w:val="bottom"/>
            <w:hideMark/>
          </w:tcPr>
          <w:p w14:paraId="2E433678" w14:textId="77777777" w:rsidR="00286810" w:rsidRPr="00066710" w:rsidRDefault="00286810" w:rsidP="004877F2">
            <w:pPr>
              <w:jc w:val="right"/>
              <w:rPr>
                <w:rFonts w:cstheme="minorHAnsi"/>
                <w:color w:val="000000"/>
                <w:sz w:val="16"/>
                <w:szCs w:val="16"/>
              </w:rPr>
            </w:pPr>
            <w:r w:rsidRPr="00066710">
              <w:rPr>
                <w:color w:val="000000"/>
                <w:sz w:val="16"/>
              </w:rPr>
              <w:t>-79.2</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38D5F46" w14:textId="77777777" w:rsidR="00286810" w:rsidRPr="00066710" w:rsidRDefault="00286810" w:rsidP="004877F2">
            <w:pPr>
              <w:jc w:val="right"/>
              <w:rPr>
                <w:rFonts w:cstheme="minorHAnsi"/>
                <w:color w:val="000000"/>
                <w:sz w:val="16"/>
                <w:szCs w:val="16"/>
              </w:rPr>
            </w:pPr>
            <w:r w:rsidRPr="00066710">
              <w:rPr>
                <w:color w:val="000000"/>
                <w:sz w:val="16"/>
              </w:rPr>
              <w:t>0.4</w:t>
            </w:r>
          </w:p>
        </w:tc>
      </w:tr>
      <w:tr w:rsidR="00286810" w:rsidRPr="00066710" w14:paraId="539E3EB5"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58F0DD70" w14:textId="77777777" w:rsidR="00286810" w:rsidRPr="00066710" w:rsidRDefault="00286810" w:rsidP="004877F2">
            <w:pPr>
              <w:rPr>
                <w:rFonts w:cstheme="minorHAnsi"/>
                <w:color w:val="000000"/>
                <w:sz w:val="16"/>
                <w:szCs w:val="16"/>
              </w:rPr>
            </w:pPr>
            <w:r w:rsidRPr="00066710">
              <w:rPr>
                <w:color w:val="000000"/>
                <w:sz w:val="16"/>
              </w:rPr>
              <w:t>Sierra Leone</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B6BEE3A"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669EE70F"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791308EE"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A4A948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313232"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5F8D9E" w14:textId="77777777" w:rsidR="00286810" w:rsidRPr="00066710" w:rsidRDefault="00286810" w:rsidP="004877F2">
            <w:pPr>
              <w:jc w:val="right"/>
              <w:rPr>
                <w:rFonts w:cstheme="minorHAnsi"/>
                <w:color w:val="000000"/>
                <w:sz w:val="16"/>
                <w:szCs w:val="16"/>
              </w:rPr>
            </w:pPr>
            <w:r w:rsidRPr="00066710">
              <w:rPr>
                <w:color w:val="000000"/>
                <w:sz w:val="16"/>
              </w:rPr>
              <w:t>142.7</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C8BDFD" w14:textId="77777777" w:rsidR="00286810" w:rsidRPr="00066710" w:rsidRDefault="00286810" w:rsidP="004877F2">
            <w:pPr>
              <w:jc w:val="right"/>
              <w:rPr>
                <w:rFonts w:cstheme="minorHAnsi"/>
                <w:color w:val="000000"/>
                <w:sz w:val="16"/>
                <w:szCs w:val="16"/>
              </w:rPr>
            </w:pPr>
            <w:r w:rsidRPr="00066710">
              <w:rPr>
                <w:color w:val="000000"/>
                <w:sz w:val="16"/>
              </w:rPr>
              <w:t>49.4</w:t>
            </w:r>
          </w:p>
        </w:tc>
        <w:tc>
          <w:tcPr>
            <w:tcW w:w="670" w:type="dxa"/>
            <w:tcBorders>
              <w:top w:val="nil"/>
              <w:left w:val="nil"/>
              <w:bottom w:val="single" w:sz="4" w:space="0" w:color="FFFFFF" w:themeColor="background1"/>
              <w:right w:val="nil"/>
            </w:tcBorders>
            <w:shd w:val="clear" w:color="auto" w:fill="auto"/>
            <w:noWrap/>
            <w:vAlign w:val="bottom"/>
            <w:hideMark/>
          </w:tcPr>
          <w:p w14:paraId="282D79B7" w14:textId="77777777" w:rsidR="00286810" w:rsidRPr="00066710" w:rsidRDefault="00286810" w:rsidP="004877F2">
            <w:pPr>
              <w:jc w:val="right"/>
              <w:rPr>
                <w:rFonts w:cstheme="minorHAnsi"/>
                <w:color w:val="000000"/>
                <w:sz w:val="16"/>
                <w:szCs w:val="16"/>
              </w:rPr>
            </w:pPr>
            <w:r w:rsidRPr="00066710">
              <w:rPr>
                <w:color w:val="000000"/>
                <w:sz w:val="16"/>
              </w:rPr>
              <w:t>-65.4</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3A31D0C"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2BB24557" w14:textId="77777777" w:rsidTr="004877F2">
        <w:tc>
          <w:tcPr>
            <w:tcW w:w="1296" w:type="dxa"/>
            <w:tcBorders>
              <w:top w:val="nil"/>
              <w:left w:val="single" w:sz="4" w:space="0" w:color="auto"/>
              <w:bottom w:val="single" w:sz="4" w:space="0" w:color="FFFFFF" w:themeColor="background1"/>
              <w:right w:val="nil"/>
            </w:tcBorders>
            <w:shd w:val="clear" w:color="auto" w:fill="auto"/>
            <w:vAlign w:val="bottom"/>
            <w:hideMark/>
          </w:tcPr>
          <w:p w14:paraId="78D88E93" w14:textId="77777777" w:rsidR="00286810" w:rsidRPr="00066710" w:rsidRDefault="00286810" w:rsidP="004877F2">
            <w:pPr>
              <w:rPr>
                <w:rFonts w:cstheme="minorHAnsi"/>
                <w:color w:val="000000"/>
                <w:sz w:val="16"/>
                <w:szCs w:val="16"/>
              </w:rPr>
            </w:pPr>
            <w:r w:rsidRPr="00066710">
              <w:rPr>
                <w:color w:val="000000"/>
                <w:sz w:val="16"/>
              </w:rPr>
              <w:t>Oman</w:t>
            </w:r>
          </w:p>
        </w:tc>
        <w:tc>
          <w:tcPr>
            <w:tcW w:w="899"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6E2A207"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5F6EAD80"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985" w:type="dxa"/>
            <w:tcBorders>
              <w:top w:val="nil"/>
              <w:left w:val="nil"/>
              <w:bottom w:val="single" w:sz="4" w:space="0" w:color="FFFFFF" w:themeColor="background1"/>
              <w:right w:val="single" w:sz="4" w:space="0" w:color="FFFFFF" w:themeColor="background1"/>
            </w:tcBorders>
            <w:shd w:val="clear" w:color="auto" w:fill="auto"/>
            <w:vAlign w:val="bottom"/>
            <w:hideMark/>
          </w:tcPr>
          <w:p w14:paraId="3402E1DD"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670" w:type="dxa"/>
            <w:tcBorders>
              <w:top w:val="nil"/>
              <w:left w:val="nil"/>
              <w:bottom w:val="single" w:sz="4" w:space="0" w:color="FFFFFF" w:themeColor="background1"/>
              <w:right w:val="single" w:sz="4" w:space="0" w:color="auto"/>
            </w:tcBorders>
            <w:shd w:val="clear" w:color="auto" w:fill="auto"/>
            <w:noWrap/>
            <w:vAlign w:val="bottom"/>
            <w:hideMark/>
          </w:tcPr>
          <w:p w14:paraId="6D9FB75F" w14:textId="77777777" w:rsidR="00286810" w:rsidRPr="00066710" w:rsidRDefault="00286810" w:rsidP="004877F2">
            <w:pPr>
              <w:jc w:val="right"/>
              <w:rPr>
                <w:rFonts w:cstheme="minorHAnsi"/>
                <w:color w:val="000000"/>
                <w:sz w:val="16"/>
                <w:szCs w:val="16"/>
              </w:rPr>
            </w:pPr>
            <w:r w:rsidRPr="00066710">
              <w:rPr>
                <w:color w:val="000000"/>
                <w:sz w:val="16"/>
              </w:rPr>
              <w:t>-100.0</w:t>
            </w:r>
          </w:p>
        </w:tc>
        <w:tc>
          <w:tcPr>
            <w:tcW w:w="87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4A9A6B"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12CBB9" w14:textId="77777777" w:rsidR="00286810" w:rsidRPr="00066710" w:rsidRDefault="00286810" w:rsidP="004877F2">
            <w:pPr>
              <w:jc w:val="right"/>
              <w:rPr>
                <w:rFonts w:cstheme="minorHAnsi"/>
                <w:color w:val="000000"/>
                <w:sz w:val="16"/>
                <w:szCs w:val="16"/>
              </w:rPr>
            </w:pPr>
            <w:r w:rsidRPr="00066710">
              <w:rPr>
                <w:color w:val="000000"/>
                <w:sz w:val="16"/>
              </w:rPr>
              <w:t>60.8</w:t>
            </w:r>
          </w:p>
        </w:tc>
        <w:tc>
          <w:tcPr>
            <w:tcW w:w="850"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1E2B4E" w14:textId="77777777" w:rsidR="00286810" w:rsidRPr="00066710" w:rsidRDefault="00286810" w:rsidP="004877F2">
            <w:pPr>
              <w:jc w:val="right"/>
              <w:rPr>
                <w:rFonts w:cstheme="minorHAnsi"/>
                <w:color w:val="000000"/>
                <w:sz w:val="16"/>
                <w:szCs w:val="16"/>
              </w:rPr>
            </w:pPr>
            <w:r w:rsidRPr="00066710">
              <w:rPr>
                <w:color w:val="000000"/>
                <w:sz w:val="16"/>
              </w:rPr>
              <w:t>47.9</w:t>
            </w:r>
          </w:p>
        </w:tc>
        <w:tc>
          <w:tcPr>
            <w:tcW w:w="670" w:type="dxa"/>
            <w:tcBorders>
              <w:top w:val="nil"/>
              <w:left w:val="nil"/>
              <w:bottom w:val="single" w:sz="4" w:space="0" w:color="FFFFFF" w:themeColor="background1"/>
              <w:right w:val="nil"/>
            </w:tcBorders>
            <w:shd w:val="clear" w:color="auto" w:fill="auto"/>
            <w:noWrap/>
            <w:vAlign w:val="bottom"/>
            <w:hideMark/>
          </w:tcPr>
          <w:p w14:paraId="5C704AE5" w14:textId="77777777" w:rsidR="00286810" w:rsidRPr="00066710" w:rsidRDefault="00286810" w:rsidP="004877F2">
            <w:pPr>
              <w:jc w:val="right"/>
              <w:rPr>
                <w:rFonts w:cstheme="minorHAnsi"/>
                <w:color w:val="000000"/>
                <w:sz w:val="16"/>
                <w:szCs w:val="16"/>
              </w:rPr>
            </w:pPr>
            <w:r w:rsidRPr="00066710">
              <w:rPr>
                <w:color w:val="000000"/>
                <w:sz w:val="16"/>
              </w:rPr>
              <w:t>-21.1</w:t>
            </w:r>
          </w:p>
        </w:tc>
        <w:tc>
          <w:tcPr>
            <w:tcW w:w="1157"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AF60889" w14:textId="77777777" w:rsidR="00286810" w:rsidRPr="00066710" w:rsidRDefault="00286810" w:rsidP="004877F2">
            <w:pPr>
              <w:jc w:val="right"/>
              <w:rPr>
                <w:rFonts w:cstheme="minorHAnsi"/>
                <w:color w:val="000000"/>
                <w:sz w:val="16"/>
                <w:szCs w:val="16"/>
              </w:rPr>
            </w:pPr>
            <w:r w:rsidRPr="00066710">
              <w:rPr>
                <w:color w:val="000000"/>
                <w:sz w:val="16"/>
              </w:rPr>
              <w:t xml:space="preserve">– </w:t>
            </w:r>
          </w:p>
        </w:tc>
      </w:tr>
      <w:tr w:rsidR="00286810" w:rsidRPr="00066710" w14:paraId="138B4018" w14:textId="77777777" w:rsidTr="004877F2">
        <w:tc>
          <w:tcPr>
            <w:tcW w:w="1296" w:type="dxa"/>
            <w:tcBorders>
              <w:top w:val="nil"/>
              <w:left w:val="single" w:sz="4" w:space="0" w:color="auto"/>
              <w:bottom w:val="nil"/>
              <w:right w:val="nil"/>
            </w:tcBorders>
            <w:shd w:val="clear" w:color="auto" w:fill="auto"/>
            <w:vAlign w:val="bottom"/>
            <w:hideMark/>
          </w:tcPr>
          <w:p w14:paraId="711ADEB6" w14:textId="77777777" w:rsidR="00286810" w:rsidRPr="00066710" w:rsidRDefault="00286810" w:rsidP="004877F2">
            <w:pPr>
              <w:rPr>
                <w:rFonts w:cstheme="minorHAnsi"/>
                <w:color w:val="000000"/>
                <w:sz w:val="16"/>
                <w:szCs w:val="16"/>
              </w:rPr>
            </w:pPr>
            <w:r w:rsidRPr="00066710">
              <w:rPr>
                <w:color w:val="000000"/>
                <w:sz w:val="16"/>
              </w:rPr>
              <w:t>Vietnam</w:t>
            </w:r>
          </w:p>
        </w:tc>
        <w:tc>
          <w:tcPr>
            <w:tcW w:w="899" w:type="dxa"/>
            <w:tcBorders>
              <w:top w:val="nil"/>
              <w:left w:val="single" w:sz="4" w:space="0" w:color="auto"/>
              <w:bottom w:val="nil"/>
              <w:right w:val="single" w:sz="4" w:space="0" w:color="FFFFFF" w:themeColor="background1"/>
            </w:tcBorders>
            <w:shd w:val="clear" w:color="auto" w:fill="auto"/>
            <w:vAlign w:val="bottom"/>
            <w:hideMark/>
          </w:tcPr>
          <w:p w14:paraId="2EDEF097" w14:textId="77777777" w:rsidR="00286810" w:rsidRPr="00066710" w:rsidRDefault="00286810" w:rsidP="004877F2">
            <w:pPr>
              <w:jc w:val="right"/>
              <w:rPr>
                <w:rFonts w:cstheme="minorHAnsi"/>
                <w:color w:val="000000"/>
                <w:sz w:val="16"/>
                <w:szCs w:val="16"/>
              </w:rPr>
            </w:pPr>
            <w:r w:rsidRPr="00066710">
              <w:rPr>
                <w:color w:val="000000"/>
                <w:sz w:val="16"/>
              </w:rPr>
              <w:t>2.6</w:t>
            </w:r>
          </w:p>
        </w:tc>
        <w:tc>
          <w:tcPr>
            <w:tcW w:w="985" w:type="dxa"/>
            <w:tcBorders>
              <w:top w:val="nil"/>
              <w:left w:val="nil"/>
              <w:bottom w:val="nil"/>
              <w:right w:val="single" w:sz="4" w:space="0" w:color="FFFFFF" w:themeColor="background1"/>
            </w:tcBorders>
            <w:shd w:val="clear" w:color="auto" w:fill="auto"/>
            <w:vAlign w:val="bottom"/>
            <w:hideMark/>
          </w:tcPr>
          <w:p w14:paraId="39C0B017" w14:textId="77777777" w:rsidR="00286810" w:rsidRPr="00066710" w:rsidRDefault="00286810" w:rsidP="004877F2">
            <w:pPr>
              <w:jc w:val="right"/>
              <w:rPr>
                <w:rFonts w:cstheme="minorHAnsi"/>
                <w:color w:val="000000"/>
                <w:sz w:val="16"/>
                <w:szCs w:val="16"/>
              </w:rPr>
            </w:pPr>
            <w:r w:rsidRPr="00066710">
              <w:rPr>
                <w:color w:val="000000"/>
                <w:sz w:val="16"/>
              </w:rPr>
              <w:t>24,318.4</w:t>
            </w:r>
          </w:p>
        </w:tc>
        <w:tc>
          <w:tcPr>
            <w:tcW w:w="985" w:type="dxa"/>
            <w:tcBorders>
              <w:top w:val="nil"/>
              <w:left w:val="nil"/>
              <w:bottom w:val="nil"/>
              <w:right w:val="single" w:sz="4" w:space="0" w:color="FFFFFF" w:themeColor="background1"/>
            </w:tcBorders>
            <w:shd w:val="clear" w:color="auto" w:fill="auto"/>
            <w:vAlign w:val="bottom"/>
            <w:hideMark/>
          </w:tcPr>
          <w:p w14:paraId="30303707" w14:textId="77777777" w:rsidR="00286810" w:rsidRPr="00066710" w:rsidRDefault="00286810" w:rsidP="004877F2">
            <w:pPr>
              <w:jc w:val="right"/>
              <w:rPr>
                <w:rFonts w:cstheme="minorHAnsi"/>
                <w:color w:val="000000"/>
                <w:sz w:val="16"/>
                <w:szCs w:val="16"/>
              </w:rPr>
            </w:pPr>
            <w:r w:rsidRPr="00066710">
              <w:rPr>
                <w:color w:val="000000"/>
                <w:sz w:val="16"/>
              </w:rPr>
              <w:t>38,189.4</w:t>
            </w:r>
          </w:p>
        </w:tc>
        <w:tc>
          <w:tcPr>
            <w:tcW w:w="670" w:type="dxa"/>
            <w:tcBorders>
              <w:top w:val="nil"/>
              <w:left w:val="nil"/>
              <w:bottom w:val="nil"/>
              <w:right w:val="single" w:sz="4" w:space="0" w:color="auto"/>
            </w:tcBorders>
            <w:shd w:val="clear" w:color="auto" w:fill="auto"/>
            <w:noWrap/>
            <w:vAlign w:val="bottom"/>
            <w:hideMark/>
          </w:tcPr>
          <w:p w14:paraId="44BBC4C2" w14:textId="77777777" w:rsidR="00286810" w:rsidRPr="00066710" w:rsidRDefault="00286810" w:rsidP="004877F2">
            <w:pPr>
              <w:jc w:val="right"/>
              <w:rPr>
                <w:rFonts w:cstheme="minorHAnsi"/>
                <w:color w:val="000000"/>
                <w:sz w:val="16"/>
                <w:szCs w:val="16"/>
              </w:rPr>
            </w:pPr>
            <w:r w:rsidRPr="00066710">
              <w:rPr>
                <w:color w:val="000000"/>
                <w:sz w:val="16"/>
              </w:rPr>
              <w:t>57.0</w:t>
            </w:r>
          </w:p>
        </w:tc>
        <w:tc>
          <w:tcPr>
            <w:tcW w:w="875" w:type="dxa"/>
            <w:tcBorders>
              <w:top w:val="nil"/>
              <w:left w:val="nil"/>
              <w:bottom w:val="nil"/>
              <w:right w:val="single" w:sz="4" w:space="0" w:color="FFFFFF" w:themeColor="background1"/>
            </w:tcBorders>
            <w:shd w:val="clear" w:color="auto" w:fill="auto"/>
            <w:noWrap/>
            <w:vAlign w:val="bottom"/>
            <w:hideMark/>
          </w:tcPr>
          <w:p w14:paraId="72782FAC" w14:textId="77777777" w:rsidR="00286810" w:rsidRPr="00066710" w:rsidRDefault="00286810" w:rsidP="004877F2">
            <w:pPr>
              <w:jc w:val="right"/>
              <w:rPr>
                <w:rFonts w:cstheme="minorHAnsi"/>
                <w:color w:val="000000"/>
                <w:sz w:val="16"/>
                <w:szCs w:val="16"/>
              </w:rPr>
            </w:pPr>
            <w:r w:rsidRPr="00066710">
              <w:rPr>
                <w:color w:val="000000"/>
                <w:sz w:val="16"/>
              </w:rPr>
              <w:t>0.0</w:t>
            </w:r>
          </w:p>
        </w:tc>
        <w:tc>
          <w:tcPr>
            <w:tcW w:w="850" w:type="dxa"/>
            <w:tcBorders>
              <w:top w:val="nil"/>
              <w:left w:val="nil"/>
              <w:bottom w:val="nil"/>
              <w:right w:val="single" w:sz="4" w:space="0" w:color="FFFFFF" w:themeColor="background1"/>
            </w:tcBorders>
            <w:shd w:val="clear" w:color="auto" w:fill="auto"/>
            <w:noWrap/>
            <w:vAlign w:val="bottom"/>
            <w:hideMark/>
          </w:tcPr>
          <w:p w14:paraId="07C9DA97" w14:textId="77777777" w:rsidR="00286810" w:rsidRPr="00066710" w:rsidRDefault="00286810" w:rsidP="004877F2">
            <w:pPr>
              <w:jc w:val="right"/>
              <w:rPr>
                <w:rFonts w:cstheme="minorHAnsi"/>
                <w:color w:val="000000"/>
                <w:sz w:val="16"/>
                <w:szCs w:val="16"/>
              </w:rPr>
            </w:pPr>
            <w:r w:rsidRPr="00066710">
              <w:rPr>
                <w:color w:val="000000"/>
                <w:sz w:val="16"/>
              </w:rPr>
              <w:t>48.2</w:t>
            </w:r>
          </w:p>
        </w:tc>
        <w:tc>
          <w:tcPr>
            <w:tcW w:w="850" w:type="dxa"/>
            <w:tcBorders>
              <w:top w:val="nil"/>
              <w:left w:val="nil"/>
              <w:bottom w:val="nil"/>
              <w:right w:val="single" w:sz="4" w:space="0" w:color="FFFFFF" w:themeColor="background1"/>
            </w:tcBorders>
            <w:shd w:val="clear" w:color="auto" w:fill="auto"/>
            <w:noWrap/>
            <w:vAlign w:val="bottom"/>
            <w:hideMark/>
          </w:tcPr>
          <w:p w14:paraId="65D38521" w14:textId="77777777" w:rsidR="00286810" w:rsidRPr="00066710" w:rsidRDefault="00286810" w:rsidP="004877F2">
            <w:pPr>
              <w:jc w:val="right"/>
              <w:rPr>
                <w:rFonts w:cstheme="minorHAnsi"/>
                <w:color w:val="000000"/>
                <w:sz w:val="16"/>
                <w:szCs w:val="16"/>
              </w:rPr>
            </w:pPr>
            <w:r w:rsidRPr="00066710">
              <w:rPr>
                <w:color w:val="000000"/>
                <w:sz w:val="16"/>
              </w:rPr>
              <w:t>42.4</w:t>
            </w:r>
          </w:p>
        </w:tc>
        <w:tc>
          <w:tcPr>
            <w:tcW w:w="670" w:type="dxa"/>
            <w:tcBorders>
              <w:top w:val="nil"/>
              <w:left w:val="nil"/>
              <w:bottom w:val="nil"/>
              <w:right w:val="single" w:sz="4" w:space="0" w:color="auto"/>
            </w:tcBorders>
            <w:shd w:val="clear" w:color="auto" w:fill="auto"/>
            <w:noWrap/>
            <w:vAlign w:val="bottom"/>
            <w:hideMark/>
          </w:tcPr>
          <w:p w14:paraId="7EA73E9E" w14:textId="77777777" w:rsidR="00286810" w:rsidRPr="00066710" w:rsidRDefault="00286810" w:rsidP="004877F2">
            <w:pPr>
              <w:jc w:val="right"/>
              <w:rPr>
                <w:rFonts w:cstheme="minorHAnsi"/>
                <w:color w:val="000000"/>
                <w:sz w:val="16"/>
                <w:szCs w:val="16"/>
              </w:rPr>
            </w:pPr>
            <w:r w:rsidRPr="00066710">
              <w:rPr>
                <w:color w:val="000000"/>
                <w:sz w:val="16"/>
              </w:rPr>
              <w:t>-12.1</w:t>
            </w:r>
          </w:p>
        </w:tc>
        <w:tc>
          <w:tcPr>
            <w:tcW w:w="1157" w:type="dxa"/>
            <w:tcBorders>
              <w:top w:val="nil"/>
              <w:left w:val="nil"/>
              <w:bottom w:val="nil"/>
              <w:right w:val="single" w:sz="4" w:space="0" w:color="auto"/>
            </w:tcBorders>
            <w:shd w:val="clear" w:color="auto" w:fill="auto"/>
            <w:noWrap/>
            <w:vAlign w:val="bottom"/>
            <w:hideMark/>
          </w:tcPr>
          <w:p w14:paraId="711A285C" w14:textId="77777777" w:rsidR="00286810" w:rsidRPr="00066710" w:rsidRDefault="00286810" w:rsidP="004877F2">
            <w:pPr>
              <w:jc w:val="right"/>
              <w:rPr>
                <w:rFonts w:cstheme="minorHAnsi"/>
                <w:color w:val="000000"/>
                <w:sz w:val="16"/>
                <w:szCs w:val="16"/>
              </w:rPr>
            </w:pPr>
            <w:r w:rsidRPr="00066710">
              <w:rPr>
                <w:color w:val="000000"/>
                <w:sz w:val="16"/>
              </w:rPr>
              <w:t>0.1</w:t>
            </w:r>
          </w:p>
        </w:tc>
      </w:tr>
      <w:tr w:rsidR="00286810" w:rsidRPr="00066710" w14:paraId="3DCB5472" w14:textId="77777777" w:rsidTr="004877F2">
        <w:tc>
          <w:tcPr>
            <w:tcW w:w="1296" w:type="dxa"/>
            <w:tcBorders>
              <w:top w:val="nil"/>
              <w:left w:val="single" w:sz="4" w:space="0" w:color="auto"/>
              <w:bottom w:val="single" w:sz="4" w:space="0" w:color="auto"/>
              <w:right w:val="single" w:sz="4" w:space="0" w:color="auto"/>
            </w:tcBorders>
            <w:shd w:val="clear" w:color="auto" w:fill="auto"/>
            <w:vAlign w:val="bottom"/>
            <w:hideMark/>
          </w:tcPr>
          <w:p w14:paraId="60269722" w14:textId="77777777" w:rsidR="00286810" w:rsidRPr="00066710" w:rsidRDefault="00286810" w:rsidP="004877F2">
            <w:pPr>
              <w:rPr>
                <w:rFonts w:cstheme="minorHAnsi"/>
                <w:color w:val="000000"/>
                <w:sz w:val="16"/>
                <w:szCs w:val="16"/>
              </w:rPr>
            </w:pPr>
            <w:r w:rsidRPr="00066710">
              <w:rPr>
                <w:color w:val="000000"/>
                <w:sz w:val="16"/>
              </w:rPr>
              <w:t>Total for other countries</w:t>
            </w:r>
          </w:p>
        </w:tc>
        <w:tc>
          <w:tcPr>
            <w:tcW w:w="899" w:type="dxa"/>
            <w:tcBorders>
              <w:top w:val="nil"/>
              <w:left w:val="nil"/>
              <w:bottom w:val="single" w:sz="4" w:space="0" w:color="auto"/>
              <w:right w:val="single" w:sz="4" w:space="0" w:color="FFFFFF" w:themeColor="background1"/>
            </w:tcBorders>
            <w:shd w:val="clear" w:color="auto" w:fill="auto"/>
            <w:vAlign w:val="bottom"/>
            <w:hideMark/>
          </w:tcPr>
          <w:p w14:paraId="4380D8F4" w14:textId="77777777" w:rsidR="00286810" w:rsidRPr="00066710" w:rsidRDefault="00286810" w:rsidP="004877F2">
            <w:pPr>
              <w:jc w:val="right"/>
              <w:rPr>
                <w:rFonts w:cstheme="minorHAnsi"/>
                <w:color w:val="000000"/>
                <w:sz w:val="16"/>
                <w:szCs w:val="16"/>
              </w:rPr>
            </w:pPr>
            <w:r w:rsidRPr="00066710">
              <w:rPr>
                <w:color w:val="000000"/>
                <w:sz w:val="16"/>
              </w:rPr>
              <w:t>0.6</w:t>
            </w:r>
          </w:p>
        </w:tc>
        <w:tc>
          <w:tcPr>
            <w:tcW w:w="985" w:type="dxa"/>
            <w:tcBorders>
              <w:top w:val="nil"/>
              <w:left w:val="nil"/>
              <w:bottom w:val="single" w:sz="4" w:space="0" w:color="auto"/>
              <w:right w:val="single" w:sz="4" w:space="0" w:color="FFFFFF" w:themeColor="background1"/>
            </w:tcBorders>
            <w:shd w:val="clear" w:color="auto" w:fill="auto"/>
            <w:vAlign w:val="bottom"/>
            <w:hideMark/>
          </w:tcPr>
          <w:p w14:paraId="410FEE2B" w14:textId="77777777" w:rsidR="00286810" w:rsidRPr="00066710" w:rsidRDefault="00286810" w:rsidP="004877F2">
            <w:pPr>
              <w:jc w:val="right"/>
              <w:rPr>
                <w:rFonts w:cstheme="minorHAnsi"/>
                <w:color w:val="000000"/>
                <w:sz w:val="16"/>
                <w:szCs w:val="16"/>
              </w:rPr>
            </w:pPr>
            <w:r w:rsidRPr="00066710">
              <w:rPr>
                <w:color w:val="000000"/>
                <w:sz w:val="16"/>
              </w:rPr>
              <w:t>4,799.1</w:t>
            </w:r>
          </w:p>
        </w:tc>
        <w:tc>
          <w:tcPr>
            <w:tcW w:w="985" w:type="dxa"/>
            <w:tcBorders>
              <w:top w:val="nil"/>
              <w:left w:val="nil"/>
              <w:bottom w:val="single" w:sz="4" w:space="0" w:color="auto"/>
              <w:right w:val="single" w:sz="4" w:space="0" w:color="FFFFFF" w:themeColor="background1"/>
            </w:tcBorders>
            <w:shd w:val="clear" w:color="auto" w:fill="auto"/>
            <w:vAlign w:val="bottom"/>
            <w:hideMark/>
          </w:tcPr>
          <w:p w14:paraId="1B30C62F" w14:textId="77777777" w:rsidR="00286810" w:rsidRPr="00066710" w:rsidRDefault="00286810" w:rsidP="004877F2">
            <w:pPr>
              <w:jc w:val="right"/>
              <w:rPr>
                <w:rFonts w:cstheme="minorHAnsi"/>
                <w:color w:val="000000"/>
                <w:sz w:val="16"/>
                <w:szCs w:val="16"/>
              </w:rPr>
            </w:pPr>
            <w:r w:rsidRPr="00066710">
              <w:rPr>
                <w:color w:val="000000"/>
                <w:sz w:val="16"/>
              </w:rPr>
              <w:t>8,745.6</w:t>
            </w:r>
          </w:p>
        </w:tc>
        <w:tc>
          <w:tcPr>
            <w:tcW w:w="670" w:type="dxa"/>
            <w:tcBorders>
              <w:top w:val="nil"/>
              <w:left w:val="nil"/>
              <w:bottom w:val="single" w:sz="4" w:space="0" w:color="auto"/>
              <w:right w:val="single" w:sz="4" w:space="0" w:color="auto"/>
            </w:tcBorders>
            <w:shd w:val="clear" w:color="auto" w:fill="auto"/>
            <w:noWrap/>
            <w:vAlign w:val="bottom"/>
            <w:hideMark/>
          </w:tcPr>
          <w:p w14:paraId="392FB564" w14:textId="77777777" w:rsidR="00286810" w:rsidRPr="00066710" w:rsidRDefault="00286810" w:rsidP="004877F2">
            <w:pPr>
              <w:jc w:val="right"/>
              <w:rPr>
                <w:rFonts w:cstheme="minorHAnsi"/>
                <w:color w:val="000000"/>
                <w:sz w:val="16"/>
                <w:szCs w:val="16"/>
              </w:rPr>
            </w:pPr>
            <w:r w:rsidRPr="00066710">
              <w:rPr>
                <w:color w:val="000000"/>
                <w:sz w:val="16"/>
              </w:rPr>
              <w:t>82.2</w:t>
            </w:r>
          </w:p>
        </w:tc>
        <w:tc>
          <w:tcPr>
            <w:tcW w:w="875" w:type="dxa"/>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64E9FA2" w14:textId="77777777" w:rsidR="00286810" w:rsidRPr="00066710" w:rsidRDefault="00286810" w:rsidP="004877F2">
            <w:pPr>
              <w:jc w:val="right"/>
              <w:rPr>
                <w:rFonts w:cstheme="minorHAnsi"/>
                <w:color w:val="000000"/>
                <w:sz w:val="16"/>
                <w:szCs w:val="16"/>
              </w:rPr>
            </w:pPr>
            <w:r w:rsidRPr="00066710">
              <w:rPr>
                <w:color w:val="000000"/>
                <w:sz w:val="16"/>
              </w:rPr>
              <w:t>0.1</w:t>
            </w:r>
          </w:p>
        </w:tc>
        <w:tc>
          <w:tcPr>
            <w:tcW w:w="850" w:type="dxa"/>
            <w:tcBorders>
              <w:top w:val="nil"/>
              <w:left w:val="nil"/>
              <w:bottom w:val="single" w:sz="4" w:space="0" w:color="auto"/>
              <w:right w:val="single" w:sz="4" w:space="0" w:color="FFFFFF" w:themeColor="background1"/>
            </w:tcBorders>
            <w:shd w:val="clear" w:color="auto" w:fill="auto"/>
            <w:vAlign w:val="bottom"/>
            <w:hideMark/>
          </w:tcPr>
          <w:p w14:paraId="414EEFAE" w14:textId="77777777" w:rsidR="00286810" w:rsidRPr="00066710" w:rsidRDefault="00286810" w:rsidP="004877F2">
            <w:pPr>
              <w:jc w:val="right"/>
              <w:rPr>
                <w:rFonts w:cstheme="minorHAnsi"/>
                <w:color w:val="000000"/>
                <w:sz w:val="16"/>
                <w:szCs w:val="16"/>
              </w:rPr>
            </w:pPr>
            <w:r w:rsidRPr="00066710">
              <w:rPr>
                <w:color w:val="000000"/>
                <w:sz w:val="16"/>
              </w:rPr>
              <w:t>1,212.0</w:t>
            </w:r>
          </w:p>
        </w:tc>
        <w:tc>
          <w:tcPr>
            <w:tcW w:w="850" w:type="dxa"/>
            <w:tcBorders>
              <w:top w:val="nil"/>
              <w:left w:val="nil"/>
              <w:bottom w:val="single" w:sz="4" w:space="0" w:color="auto"/>
              <w:right w:val="single" w:sz="4" w:space="0" w:color="FFFFFF" w:themeColor="background1"/>
            </w:tcBorders>
            <w:shd w:val="clear" w:color="auto" w:fill="auto"/>
            <w:vAlign w:val="bottom"/>
            <w:hideMark/>
          </w:tcPr>
          <w:p w14:paraId="0C4DBA5C" w14:textId="77777777" w:rsidR="00286810" w:rsidRPr="00066710" w:rsidRDefault="00286810" w:rsidP="004877F2">
            <w:pPr>
              <w:jc w:val="right"/>
              <w:rPr>
                <w:rFonts w:cstheme="minorHAnsi"/>
                <w:color w:val="000000"/>
                <w:sz w:val="16"/>
                <w:szCs w:val="16"/>
              </w:rPr>
            </w:pPr>
            <w:r w:rsidRPr="00066710">
              <w:rPr>
                <w:color w:val="000000"/>
                <w:sz w:val="16"/>
              </w:rPr>
              <w:t>653.9</w:t>
            </w:r>
          </w:p>
        </w:tc>
        <w:tc>
          <w:tcPr>
            <w:tcW w:w="670" w:type="dxa"/>
            <w:tcBorders>
              <w:top w:val="nil"/>
              <w:left w:val="nil"/>
              <w:bottom w:val="single" w:sz="4" w:space="0" w:color="auto"/>
              <w:right w:val="nil"/>
            </w:tcBorders>
            <w:shd w:val="clear" w:color="auto" w:fill="auto"/>
            <w:noWrap/>
            <w:vAlign w:val="bottom"/>
            <w:hideMark/>
          </w:tcPr>
          <w:p w14:paraId="1CF30E3A" w14:textId="77777777" w:rsidR="00286810" w:rsidRPr="00066710" w:rsidRDefault="00286810" w:rsidP="004877F2">
            <w:pPr>
              <w:jc w:val="right"/>
              <w:rPr>
                <w:rFonts w:cstheme="minorHAnsi"/>
                <w:color w:val="000000"/>
                <w:sz w:val="16"/>
                <w:szCs w:val="16"/>
              </w:rPr>
            </w:pPr>
            <w:r w:rsidRPr="00066710">
              <w:rPr>
                <w:color w:val="000000"/>
                <w:sz w:val="16"/>
              </w:rPr>
              <w:t>-46.1</w:t>
            </w:r>
          </w:p>
        </w:tc>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3758064" w14:textId="77777777" w:rsidR="00286810" w:rsidRPr="00066710" w:rsidRDefault="00286810" w:rsidP="004877F2">
            <w:pPr>
              <w:jc w:val="right"/>
              <w:rPr>
                <w:rFonts w:cstheme="minorHAnsi"/>
                <w:color w:val="000000"/>
                <w:sz w:val="16"/>
                <w:szCs w:val="16"/>
              </w:rPr>
            </w:pPr>
            <w:r w:rsidRPr="00066710">
              <w:rPr>
                <w:color w:val="000000"/>
                <w:sz w:val="16"/>
              </w:rPr>
              <w:t>7.5</w:t>
            </w:r>
          </w:p>
        </w:tc>
      </w:tr>
      <w:tr w:rsidR="00286810" w:rsidRPr="00066710" w14:paraId="03DEBA46" w14:textId="77777777" w:rsidTr="004877F2">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C736445" w14:textId="77777777" w:rsidR="00286810" w:rsidRPr="00066710" w:rsidRDefault="00286810" w:rsidP="004877F2">
            <w:pPr>
              <w:rPr>
                <w:rFonts w:cstheme="minorHAnsi"/>
                <w:b/>
                <w:bCs/>
                <w:color w:val="000000"/>
                <w:sz w:val="16"/>
                <w:szCs w:val="16"/>
              </w:rPr>
            </w:pPr>
            <w:r w:rsidRPr="00066710">
              <w:rPr>
                <w:b/>
                <w:color w:val="000000"/>
                <w:sz w:val="16"/>
              </w:rPr>
              <w:t>Total</w:t>
            </w:r>
          </w:p>
        </w:tc>
        <w:tc>
          <w:tcPr>
            <w:tcW w:w="899" w:type="dxa"/>
            <w:tcBorders>
              <w:top w:val="nil"/>
              <w:left w:val="nil"/>
              <w:bottom w:val="single" w:sz="4" w:space="0" w:color="auto"/>
              <w:right w:val="nil"/>
            </w:tcBorders>
            <w:shd w:val="clear" w:color="auto" w:fill="auto"/>
            <w:noWrap/>
            <w:vAlign w:val="bottom"/>
            <w:hideMark/>
          </w:tcPr>
          <w:p w14:paraId="31DA7027" w14:textId="77777777" w:rsidR="00286810" w:rsidRPr="00066710" w:rsidRDefault="00286810" w:rsidP="004877F2">
            <w:pPr>
              <w:jc w:val="right"/>
              <w:rPr>
                <w:rFonts w:cstheme="minorHAnsi"/>
                <w:b/>
                <w:bCs/>
                <w:color w:val="000000"/>
                <w:sz w:val="16"/>
                <w:szCs w:val="16"/>
              </w:rPr>
            </w:pPr>
            <w:r w:rsidRPr="00066710">
              <w:rPr>
                <w:b/>
                <w:color w:val="000000"/>
                <w:sz w:val="16"/>
              </w:rPr>
              <w:t>100.0</w:t>
            </w:r>
          </w:p>
        </w:tc>
        <w:tc>
          <w:tcPr>
            <w:tcW w:w="985" w:type="dxa"/>
            <w:tcBorders>
              <w:top w:val="nil"/>
              <w:left w:val="nil"/>
              <w:bottom w:val="single" w:sz="4" w:space="0" w:color="auto"/>
              <w:right w:val="nil"/>
            </w:tcBorders>
            <w:shd w:val="clear" w:color="auto" w:fill="auto"/>
            <w:noWrap/>
            <w:vAlign w:val="bottom"/>
            <w:hideMark/>
          </w:tcPr>
          <w:p w14:paraId="240D4DC7" w14:textId="77777777" w:rsidR="00286810" w:rsidRPr="00066710" w:rsidRDefault="00286810" w:rsidP="004877F2">
            <w:pPr>
              <w:jc w:val="right"/>
              <w:rPr>
                <w:rFonts w:cstheme="minorHAnsi"/>
                <w:b/>
                <w:bCs/>
                <w:color w:val="000000"/>
                <w:sz w:val="16"/>
                <w:szCs w:val="16"/>
              </w:rPr>
            </w:pPr>
            <w:r w:rsidRPr="00066710">
              <w:rPr>
                <w:b/>
                <w:color w:val="000000"/>
                <w:sz w:val="16"/>
              </w:rPr>
              <w:t>1,550,238.1</w:t>
            </w:r>
          </w:p>
        </w:tc>
        <w:tc>
          <w:tcPr>
            <w:tcW w:w="985" w:type="dxa"/>
            <w:tcBorders>
              <w:top w:val="nil"/>
              <w:left w:val="nil"/>
              <w:bottom w:val="single" w:sz="4" w:space="0" w:color="auto"/>
              <w:right w:val="nil"/>
            </w:tcBorders>
            <w:shd w:val="clear" w:color="auto" w:fill="auto"/>
            <w:noWrap/>
            <w:vAlign w:val="bottom"/>
            <w:hideMark/>
          </w:tcPr>
          <w:p w14:paraId="2D6D9B51" w14:textId="77777777" w:rsidR="00286810" w:rsidRPr="00066710" w:rsidRDefault="00286810" w:rsidP="004877F2">
            <w:pPr>
              <w:jc w:val="right"/>
              <w:rPr>
                <w:rFonts w:cstheme="minorHAnsi"/>
                <w:b/>
                <w:bCs/>
                <w:color w:val="000000"/>
                <w:sz w:val="16"/>
                <w:szCs w:val="16"/>
              </w:rPr>
            </w:pPr>
            <w:r w:rsidRPr="00066710">
              <w:rPr>
                <w:b/>
                <w:color w:val="000000"/>
                <w:sz w:val="16"/>
              </w:rPr>
              <w:t>1,469,369.4</w:t>
            </w:r>
          </w:p>
        </w:tc>
        <w:tc>
          <w:tcPr>
            <w:tcW w:w="670" w:type="dxa"/>
            <w:tcBorders>
              <w:top w:val="nil"/>
              <w:left w:val="nil"/>
              <w:bottom w:val="single" w:sz="4" w:space="0" w:color="auto"/>
              <w:right w:val="single" w:sz="4" w:space="0" w:color="auto"/>
            </w:tcBorders>
            <w:shd w:val="clear" w:color="auto" w:fill="auto"/>
            <w:noWrap/>
            <w:vAlign w:val="bottom"/>
            <w:hideMark/>
          </w:tcPr>
          <w:p w14:paraId="60EC4BF7" w14:textId="77777777" w:rsidR="00286810" w:rsidRPr="00066710" w:rsidRDefault="00286810" w:rsidP="004877F2">
            <w:pPr>
              <w:jc w:val="right"/>
              <w:rPr>
                <w:rFonts w:cstheme="minorHAnsi"/>
                <w:b/>
                <w:bCs/>
                <w:color w:val="000000"/>
                <w:sz w:val="16"/>
                <w:szCs w:val="16"/>
              </w:rPr>
            </w:pPr>
            <w:r w:rsidRPr="00066710">
              <w:rPr>
                <w:b/>
                <w:color w:val="000000"/>
                <w:sz w:val="16"/>
              </w:rPr>
              <w:t>-5.2</w:t>
            </w:r>
          </w:p>
        </w:tc>
        <w:tc>
          <w:tcPr>
            <w:tcW w:w="875" w:type="dxa"/>
            <w:tcBorders>
              <w:top w:val="nil"/>
              <w:left w:val="nil"/>
              <w:bottom w:val="single" w:sz="4" w:space="0" w:color="auto"/>
              <w:right w:val="nil"/>
            </w:tcBorders>
            <w:shd w:val="clear" w:color="auto" w:fill="auto"/>
            <w:noWrap/>
            <w:vAlign w:val="bottom"/>
            <w:hideMark/>
          </w:tcPr>
          <w:p w14:paraId="642B1EE4" w14:textId="77777777" w:rsidR="00286810" w:rsidRPr="00066710" w:rsidRDefault="00286810" w:rsidP="004877F2">
            <w:pPr>
              <w:jc w:val="right"/>
              <w:rPr>
                <w:rFonts w:cstheme="minorHAnsi"/>
                <w:b/>
                <w:bCs/>
                <w:color w:val="000000"/>
                <w:sz w:val="16"/>
                <w:szCs w:val="16"/>
              </w:rPr>
            </w:pPr>
            <w:r w:rsidRPr="00066710">
              <w:rPr>
                <w:b/>
                <w:color w:val="000000"/>
                <w:sz w:val="16"/>
              </w:rPr>
              <w:t>100.0</w:t>
            </w:r>
          </w:p>
        </w:tc>
        <w:tc>
          <w:tcPr>
            <w:tcW w:w="850" w:type="dxa"/>
            <w:tcBorders>
              <w:top w:val="nil"/>
              <w:left w:val="nil"/>
              <w:bottom w:val="single" w:sz="4" w:space="0" w:color="auto"/>
              <w:right w:val="nil"/>
            </w:tcBorders>
            <w:shd w:val="clear" w:color="auto" w:fill="auto"/>
            <w:noWrap/>
            <w:vAlign w:val="bottom"/>
            <w:hideMark/>
          </w:tcPr>
          <w:p w14:paraId="654CFAB3" w14:textId="77777777" w:rsidR="00286810" w:rsidRPr="00066710" w:rsidRDefault="00286810" w:rsidP="004877F2">
            <w:pPr>
              <w:jc w:val="right"/>
              <w:rPr>
                <w:rFonts w:cstheme="minorHAnsi"/>
                <w:b/>
                <w:bCs/>
                <w:color w:val="000000"/>
                <w:sz w:val="16"/>
                <w:szCs w:val="16"/>
              </w:rPr>
            </w:pPr>
            <w:r w:rsidRPr="00066710">
              <w:rPr>
                <w:b/>
                <w:color w:val="000000"/>
                <w:sz w:val="16"/>
              </w:rPr>
              <w:t>860,767.6</w:t>
            </w:r>
          </w:p>
        </w:tc>
        <w:tc>
          <w:tcPr>
            <w:tcW w:w="850" w:type="dxa"/>
            <w:tcBorders>
              <w:top w:val="nil"/>
              <w:left w:val="nil"/>
              <w:bottom w:val="single" w:sz="4" w:space="0" w:color="auto"/>
              <w:right w:val="nil"/>
            </w:tcBorders>
            <w:shd w:val="clear" w:color="auto" w:fill="auto"/>
            <w:noWrap/>
            <w:vAlign w:val="bottom"/>
            <w:hideMark/>
          </w:tcPr>
          <w:p w14:paraId="553A981E" w14:textId="77777777" w:rsidR="00286810" w:rsidRPr="00066710" w:rsidRDefault="00286810" w:rsidP="004877F2">
            <w:pPr>
              <w:jc w:val="right"/>
              <w:rPr>
                <w:rFonts w:cstheme="minorHAnsi"/>
                <w:b/>
                <w:bCs/>
                <w:color w:val="000000"/>
                <w:sz w:val="16"/>
                <w:szCs w:val="16"/>
              </w:rPr>
            </w:pPr>
            <w:r w:rsidRPr="00066710">
              <w:rPr>
                <w:b/>
                <w:color w:val="000000"/>
                <w:sz w:val="16"/>
              </w:rPr>
              <w:t>869,142.5</w:t>
            </w:r>
          </w:p>
        </w:tc>
        <w:tc>
          <w:tcPr>
            <w:tcW w:w="670" w:type="dxa"/>
            <w:tcBorders>
              <w:top w:val="nil"/>
              <w:left w:val="nil"/>
              <w:bottom w:val="single" w:sz="4" w:space="0" w:color="auto"/>
              <w:right w:val="single" w:sz="4" w:space="0" w:color="auto"/>
            </w:tcBorders>
            <w:shd w:val="clear" w:color="auto" w:fill="auto"/>
            <w:noWrap/>
            <w:vAlign w:val="bottom"/>
            <w:hideMark/>
          </w:tcPr>
          <w:p w14:paraId="43EA90BD" w14:textId="77777777" w:rsidR="00286810" w:rsidRPr="00066710" w:rsidRDefault="00286810" w:rsidP="004877F2">
            <w:pPr>
              <w:jc w:val="right"/>
              <w:rPr>
                <w:rFonts w:cstheme="minorHAnsi"/>
                <w:b/>
                <w:bCs/>
                <w:color w:val="000000"/>
                <w:sz w:val="16"/>
                <w:szCs w:val="16"/>
              </w:rPr>
            </w:pPr>
            <w:r w:rsidRPr="00066710">
              <w:rPr>
                <w:b/>
                <w:color w:val="000000"/>
                <w:sz w:val="16"/>
              </w:rPr>
              <w:t>1.0</w:t>
            </w:r>
          </w:p>
        </w:tc>
        <w:tc>
          <w:tcPr>
            <w:tcW w:w="1157" w:type="dxa"/>
            <w:tcBorders>
              <w:top w:val="nil"/>
              <w:left w:val="nil"/>
              <w:bottom w:val="single" w:sz="4" w:space="0" w:color="auto"/>
              <w:right w:val="single" w:sz="4" w:space="0" w:color="auto"/>
            </w:tcBorders>
            <w:shd w:val="clear" w:color="auto" w:fill="auto"/>
            <w:noWrap/>
            <w:vAlign w:val="bottom"/>
            <w:hideMark/>
          </w:tcPr>
          <w:p w14:paraId="18BF7456" w14:textId="77777777" w:rsidR="00286810" w:rsidRPr="00066710" w:rsidRDefault="00286810" w:rsidP="004877F2">
            <w:pPr>
              <w:jc w:val="right"/>
              <w:rPr>
                <w:rFonts w:cstheme="minorHAnsi"/>
                <w:b/>
                <w:bCs/>
                <w:color w:val="000000"/>
                <w:sz w:val="16"/>
                <w:szCs w:val="16"/>
              </w:rPr>
            </w:pPr>
            <w:r w:rsidRPr="00066710">
              <w:rPr>
                <w:b/>
                <w:color w:val="000000"/>
                <w:sz w:val="16"/>
              </w:rPr>
              <w:t>59.2</w:t>
            </w:r>
          </w:p>
        </w:tc>
      </w:tr>
      <w:tr w:rsidR="00286810" w:rsidRPr="00066710" w14:paraId="04C83B58" w14:textId="77777777" w:rsidTr="004877F2">
        <w:tc>
          <w:tcPr>
            <w:tcW w:w="1296" w:type="dxa"/>
            <w:tcBorders>
              <w:top w:val="nil"/>
              <w:left w:val="nil"/>
              <w:bottom w:val="nil"/>
              <w:right w:val="nil"/>
            </w:tcBorders>
            <w:shd w:val="clear" w:color="auto" w:fill="auto"/>
            <w:noWrap/>
            <w:vAlign w:val="bottom"/>
            <w:hideMark/>
          </w:tcPr>
          <w:p w14:paraId="129CB74B" w14:textId="77777777" w:rsidR="00286810" w:rsidRPr="00066710" w:rsidRDefault="00286810" w:rsidP="004877F2">
            <w:pPr>
              <w:rPr>
                <w:rFonts w:cstheme="minorHAnsi"/>
                <w:color w:val="000000"/>
                <w:sz w:val="16"/>
                <w:szCs w:val="16"/>
              </w:rPr>
            </w:pPr>
            <w:r w:rsidRPr="00066710">
              <w:rPr>
                <w:color w:val="000000"/>
                <w:sz w:val="16"/>
              </w:rPr>
              <w:t>Source: INR</w:t>
            </w:r>
          </w:p>
        </w:tc>
        <w:tc>
          <w:tcPr>
            <w:tcW w:w="899" w:type="dxa"/>
            <w:tcBorders>
              <w:top w:val="nil"/>
              <w:left w:val="nil"/>
              <w:bottom w:val="nil"/>
              <w:right w:val="nil"/>
            </w:tcBorders>
            <w:shd w:val="clear" w:color="auto" w:fill="auto"/>
            <w:noWrap/>
            <w:vAlign w:val="bottom"/>
            <w:hideMark/>
          </w:tcPr>
          <w:p w14:paraId="21308400" w14:textId="77777777" w:rsidR="00286810" w:rsidRPr="00066710" w:rsidRDefault="00286810" w:rsidP="004877F2">
            <w:pPr>
              <w:rPr>
                <w:rFonts w:cstheme="minorHAnsi"/>
                <w:color w:val="000000"/>
                <w:sz w:val="16"/>
                <w:szCs w:val="16"/>
              </w:rPr>
            </w:pPr>
          </w:p>
        </w:tc>
        <w:tc>
          <w:tcPr>
            <w:tcW w:w="985" w:type="dxa"/>
            <w:tcBorders>
              <w:top w:val="nil"/>
              <w:left w:val="nil"/>
              <w:bottom w:val="nil"/>
              <w:right w:val="nil"/>
            </w:tcBorders>
            <w:shd w:val="clear" w:color="auto" w:fill="auto"/>
            <w:noWrap/>
            <w:vAlign w:val="bottom"/>
            <w:hideMark/>
          </w:tcPr>
          <w:p w14:paraId="5D44BFFA" w14:textId="77777777" w:rsidR="00286810" w:rsidRPr="00066710" w:rsidRDefault="00286810" w:rsidP="004877F2">
            <w:pPr>
              <w:rPr>
                <w:rFonts w:cstheme="minorHAnsi"/>
                <w:sz w:val="16"/>
                <w:szCs w:val="16"/>
              </w:rPr>
            </w:pPr>
          </w:p>
        </w:tc>
        <w:tc>
          <w:tcPr>
            <w:tcW w:w="985" w:type="dxa"/>
            <w:tcBorders>
              <w:top w:val="nil"/>
              <w:left w:val="nil"/>
              <w:bottom w:val="nil"/>
              <w:right w:val="nil"/>
            </w:tcBorders>
            <w:shd w:val="clear" w:color="auto" w:fill="auto"/>
            <w:noWrap/>
            <w:vAlign w:val="bottom"/>
            <w:hideMark/>
          </w:tcPr>
          <w:p w14:paraId="3185BAB4" w14:textId="77777777" w:rsidR="00286810" w:rsidRPr="00066710" w:rsidRDefault="00286810" w:rsidP="004877F2">
            <w:pPr>
              <w:rPr>
                <w:rFonts w:cstheme="minorHAnsi"/>
                <w:sz w:val="16"/>
                <w:szCs w:val="16"/>
              </w:rPr>
            </w:pPr>
          </w:p>
        </w:tc>
        <w:tc>
          <w:tcPr>
            <w:tcW w:w="670" w:type="dxa"/>
            <w:tcBorders>
              <w:top w:val="nil"/>
              <w:left w:val="nil"/>
              <w:bottom w:val="nil"/>
              <w:right w:val="nil"/>
            </w:tcBorders>
            <w:shd w:val="clear" w:color="auto" w:fill="auto"/>
            <w:noWrap/>
            <w:vAlign w:val="bottom"/>
            <w:hideMark/>
          </w:tcPr>
          <w:p w14:paraId="72585FE8" w14:textId="77777777" w:rsidR="00286810" w:rsidRPr="00066710" w:rsidRDefault="00286810" w:rsidP="004877F2">
            <w:pPr>
              <w:rPr>
                <w:rFonts w:cstheme="minorHAnsi"/>
                <w:sz w:val="16"/>
                <w:szCs w:val="16"/>
              </w:rPr>
            </w:pPr>
          </w:p>
        </w:tc>
        <w:tc>
          <w:tcPr>
            <w:tcW w:w="875" w:type="dxa"/>
            <w:tcBorders>
              <w:top w:val="nil"/>
              <w:left w:val="nil"/>
              <w:bottom w:val="nil"/>
              <w:right w:val="nil"/>
            </w:tcBorders>
            <w:shd w:val="clear" w:color="auto" w:fill="auto"/>
            <w:noWrap/>
            <w:vAlign w:val="bottom"/>
            <w:hideMark/>
          </w:tcPr>
          <w:p w14:paraId="4364434A" w14:textId="77777777" w:rsidR="00286810" w:rsidRPr="00066710" w:rsidRDefault="00286810" w:rsidP="004877F2">
            <w:pPr>
              <w:rPr>
                <w:rFonts w:cstheme="minorHAnsi"/>
                <w:sz w:val="16"/>
                <w:szCs w:val="16"/>
              </w:rPr>
            </w:pPr>
          </w:p>
        </w:tc>
        <w:tc>
          <w:tcPr>
            <w:tcW w:w="850" w:type="dxa"/>
            <w:tcBorders>
              <w:top w:val="nil"/>
              <w:left w:val="nil"/>
              <w:bottom w:val="nil"/>
              <w:right w:val="nil"/>
            </w:tcBorders>
            <w:shd w:val="clear" w:color="auto" w:fill="auto"/>
            <w:noWrap/>
            <w:vAlign w:val="bottom"/>
            <w:hideMark/>
          </w:tcPr>
          <w:p w14:paraId="78763908" w14:textId="77777777" w:rsidR="00286810" w:rsidRPr="00066710" w:rsidRDefault="00286810" w:rsidP="004877F2">
            <w:pPr>
              <w:rPr>
                <w:rFonts w:cstheme="minorHAnsi"/>
                <w:sz w:val="16"/>
                <w:szCs w:val="16"/>
              </w:rPr>
            </w:pPr>
          </w:p>
        </w:tc>
        <w:tc>
          <w:tcPr>
            <w:tcW w:w="850" w:type="dxa"/>
            <w:tcBorders>
              <w:top w:val="nil"/>
              <w:left w:val="nil"/>
              <w:bottom w:val="nil"/>
              <w:right w:val="nil"/>
            </w:tcBorders>
            <w:shd w:val="clear" w:color="auto" w:fill="auto"/>
            <w:noWrap/>
            <w:vAlign w:val="bottom"/>
            <w:hideMark/>
          </w:tcPr>
          <w:p w14:paraId="6A76EF39" w14:textId="77777777" w:rsidR="00286810" w:rsidRPr="00066710" w:rsidRDefault="00286810" w:rsidP="004877F2">
            <w:pPr>
              <w:rPr>
                <w:rFonts w:cstheme="minorHAnsi"/>
                <w:sz w:val="16"/>
                <w:szCs w:val="16"/>
              </w:rPr>
            </w:pPr>
          </w:p>
        </w:tc>
        <w:tc>
          <w:tcPr>
            <w:tcW w:w="670" w:type="dxa"/>
            <w:tcBorders>
              <w:top w:val="nil"/>
              <w:left w:val="nil"/>
              <w:bottom w:val="nil"/>
              <w:right w:val="nil"/>
            </w:tcBorders>
            <w:shd w:val="clear" w:color="auto" w:fill="auto"/>
            <w:noWrap/>
            <w:vAlign w:val="bottom"/>
            <w:hideMark/>
          </w:tcPr>
          <w:p w14:paraId="6FC45FB4" w14:textId="77777777" w:rsidR="00286810" w:rsidRPr="00066710" w:rsidRDefault="00286810" w:rsidP="004877F2">
            <w:pPr>
              <w:rPr>
                <w:rFonts w:cstheme="minorHAnsi"/>
                <w:sz w:val="16"/>
                <w:szCs w:val="16"/>
              </w:rPr>
            </w:pPr>
          </w:p>
        </w:tc>
        <w:tc>
          <w:tcPr>
            <w:tcW w:w="1157" w:type="dxa"/>
            <w:tcBorders>
              <w:top w:val="nil"/>
              <w:left w:val="nil"/>
              <w:bottom w:val="nil"/>
              <w:right w:val="nil"/>
            </w:tcBorders>
            <w:shd w:val="clear" w:color="auto" w:fill="auto"/>
            <w:noWrap/>
            <w:vAlign w:val="bottom"/>
            <w:hideMark/>
          </w:tcPr>
          <w:p w14:paraId="5B988236" w14:textId="77777777" w:rsidR="00286810" w:rsidRPr="00066710" w:rsidRDefault="00286810" w:rsidP="004877F2">
            <w:pPr>
              <w:rPr>
                <w:rFonts w:cstheme="minorHAnsi"/>
                <w:sz w:val="16"/>
                <w:szCs w:val="16"/>
              </w:rPr>
            </w:pPr>
          </w:p>
        </w:tc>
      </w:tr>
    </w:tbl>
    <w:p w14:paraId="10995DC3" w14:textId="77777777" w:rsidR="00286810" w:rsidRPr="00066710" w:rsidRDefault="00286810" w:rsidP="00286810">
      <w:pPr>
        <w:pStyle w:val="Plattetekst"/>
        <w:rPr>
          <w:rFonts w:asciiTheme="minorHAnsi" w:hAnsiTheme="minorHAnsi" w:cstheme="minorHAnsi"/>
          <w:noProof w:val="0"/>
          <w:szCs w:val="22"/>
        </w:rPr>
      </w:pPr>
    </w:p>
    <w:p w14:paraId="66AEBD8E" w14:textId="77777777" w:rsidR="00286810" w:rsidRPr="00066710" w:rsidRDefault="00286810" w:rsidP="00286810">
      <w:pPr>
        <w:rPr>
          <w:rFonts w:cstheme="minorHAnsi"/>
        </w:rPr>
      </w:pPr>
      <w:r w:rsidRPr="00066710">
        <w:br w:type="page"/>
      </w:r>
    </w:p>
    <w:p w14:paraId="2F8E3672" w14:textId="77777777" w:rsidR="00286810" w:rsidRPr="00172119" w:rsidRDefault="00286810" w:rsidP="00286810">
      <w:pPr>
        <w:spacing w:line="257" w:lineRule="auto"/>
        <w:jc w:val="both"/>
        <w:rPr>
          <w:rFonts w:ascii="Calibri" w:eastAsia="Calibri" w:hAnsi="Calibri" w:cs="Calibri"/>
          <w:b/>
          <w:bCs/>
          <w:u w:val="single"/>
          <w:lang w:val="en-US"/>
        </w:rPr>
      </w:pPr>
      <w:r w:rsidRPr="00172119">
        <w:rPr>
          <w:rFonts w:ascii="Calibri" w:hAnsi="Calibri"/>
          <w:b/>
          <w:u w:val="single"/>
          <w:lang w:val="en-US"/>
        </w:rPr>
        <w:lastRenderedPageBreak/>
        <w:t>Outlook: anticipated weakening of economic activity in 2022 and 2023</w:t>
      </w:r>
    </w:p>
    <w:p w14:paraId="7DCB847C" w14:textId="77777777" w:rsidR="00286810" w:rsidRPr="00172119" w:rsidRDefault="00286810" w:rsidP="00286810">
      <w:pPr>
        <w:spacing w:line="257" w:lineRule="auto"/>
        <w:jc w:val="both"/>
        <w:rPr>
          <w:rFonts w:ascii="Calibri" w:eastAsia="Calibri" w:hAnsi="Calibri" w:cs="Calibri"/>
          <w:lang w:val="en-US"/>
        </w:rPr>
      </w:pPr>
    </w:p>
    <w:p w14:paraId="03A6776C" w14:textId="77777777" w:rsidR="00286810" w:rsidRPr="00172119" w:rsidRDefault="00286810" w:rsidP="00286810">
      <w:pPr>
        <w:spacing w:line="257" w:lineRule="auto"/>
        <w:jc w:val="both"/>
        <w:rPr>
          <w:lang w:val="en-US"/>
        </w:rPr>
      </w:pPr>
      <w:r w:rsidRPr="00172119">
        <w:rPr>
          <w:rFonts w:ascii="Calibri" w:hAnsi="Calibri"/>
          <w:lang w:val="en-US"/>
        </w:rPr>
        <w:t xml:space="preserve">The continuation of the economic recovery after the corona crisis was completely quashed in the spring of 2022. The Russian invasion of Ukraine has led to an unprecedented explosion in EU energy prices, with renewed disruptions in supply chains of raw materials and equipment. The high raw material and energy prices, as well as rapidly rising labour costs due to soaring inflation, are weighing upon economic activity. The anticipated economic downturn in the EU, as well as the downturn in the construction sector, are having a strong negative impact on the furniture industry. On top of that, Western consumers are reducing their spending because too much purchasing power is draining away into expensive energy bills. </w:t>
      </w:r>
    </w:p>
    <w:p w14:paraId="24400CC7" w14:textId="77777777" w:rsidR="00286810" w:rsidRPr="00172119" w:rsidRDefault="00286810" w:rsidP="00286810">
      <w:pPr>
        <w:spacing w:line="257" w:lineRule="auto"/>
        <w:jc w:val="both"/>
        <w:rPr>
          <w:rFonts w:ascii="Calibri" w:eastAsia="Calibri" w:hAnsi="Calibri" w:cs="Calibri"/>
          <w:lang w:val="en-US"/>
        </w:rPr>
      </w:pPr>
    </w:p>
    <w:p w14:paraId="4836FE04" w14:textId="77777777" w:rsidR="00286810" w:rsidRPr="00172119" w:rsidRDefault="00286810" w:rsidP="00286810">
      <w:pPr>
        <w:spacing w:line="257" w:lineRule="auto"/>
        <w:jc w:val="both"/>
        <w:rPr>
          <w:lang w:val="en-US"/>
        </w:rPr>
      </w:pPr>
      <w:r w:rsidRPr="00172119">
        <w:rPr>
          <w:rFonts w:ascii="Calibri" w:hAnsi="Calibri"/>
          <w:lang w:val="en-US"/>
        </w:rPr>
        <w:t xml:space="preserve">According to the Federal Planning Bureau's projections (press release of 8 September 2022), the Belgian economy was to grow by 2.6% in 2022 and by only 0.5% in 2023. Galloping inflation will halt economic growth in the fourth quarter of 2022 and the first quarter of 2023. In the EU, the most significant export zone for the furniture industry, economic growth is set to be 2.7% in 2022. In 2023, the EU economy is expected to grow by 1.5% (EU Economic Outlook for Summer 2022). </w:t>
      </w:r>
    </w:p>
    <w:p w14:paraId="00BBC37D" w14:textId="77777777" w:rsidR="00286810" w:rsidRPr="00172119" w:rsidRDefault="00286810" w:rsidP="00286810">
      <w:pPr>
        <w:spacing w:line="257" w:lineRule="auto"/>
        <w:jc w:val="both"/>
        <w:rPr>
          <w:rFonts w:ascii="Calibri" w:eastAsia="Calibri" w:hAnsi="Calibri" w:cs="Calibri"/>
          <w:lang w:val="en-US"/>
        </w:rPr>
      </w:pPr>
    </w:p>
    <w:p w14:paraId="3E473254" w14:textId="77777777" w:rsidR="00286810" w:rsidRPr="00172119" w:rsidRDefault="00286810" w:rsidP="00286810">
      <w:pPr>
        <w:spacing w:line="257" w:lineRule="auto"/>
        <w:jc w:val="both"/>
        <w:rPr>
          <w:lang w:val="en-US"/>
        </w:rPr>
      </w:pPr>
      <w:r w:rsidRPr="00172119">
        <w:rPr>
          <w:rFonts w:ascii="Calibri" w:hAnsi="Calibri"/>
          <w:lang w:val="en-US"/>
        </w:rPr>
        <w:t xml:space="preserve">The anticipated weakening of economic activity in 2022 and in 2023 in Belgium and the EU makes the outlook for increased activity in the furniture industry very bleak as well. </w:t>
      </w:r>
    </w:p>
    <w:p w14:paraId="4C62A8E4" w14:textId="77777777" w:rsidR="00286810" w:rsidRPr="00172119" w:rsidRDefault="00286810" w:rsidP="00286810">
      <w:pPr>
        <w:jc w:val="both"/>
        <w:rPr>
          <w:lang w:val="en-US"/>
        </w:rPr>
      </w:pPr>
    </w:p>
    <w:p w14:paraId="7FF6191A" w14:textId="77777777" w:rsidR="00286810" w:rsidRPr="00172119" w:rsidRDefault="00286810" w:rsidP="00286810">
      <w:pPr>
        <w:tabs>
          <w:tab w:val="left" w:pos="3884"/>
        </w:tabs>
        <w:ind w:right="28"/>
        <w:jc w:val="both"/>
        <w:rPr>
          <w:rFonts w:cstheme="minorHAnsi"/>
          <w:highlight w:val="yellow"/>
          <w:lang w:val="en-US"/>
        </w:rPr>
      </w:pPr>
    </w:p>
    <w:p w14:paraId="1F2DF854" w14:textId="77777777" w:rsidR="00286810" w:rsidRPr="00172119" w:rsidRDefault="00286810" w:rsidP="00286810">
      <w:pPr>
        <w:pStyle w:val="Plattetekst"/>
        <w:pBdr>
          <w:bottom w:val="single" w:sz="4" w:space="1" w:color="auto"/>
        </w:pBdr>
        <w:rPr>
          <w:rFonts w:asciiTheme="minorHAnsi" w:hAnsiTheme="minorHAnsi" w:cstheme="minorHAnsi"/>
          <w:noProof w:val="0"/>
          <w:highlight w:val="yellow"/>
          <w:lang w:val="en-US"/>
        </w:rPr>
      </w:pPr>
    </w:p>
    <w:p w14:paraId="419C67FC" w14:textId="77777777" w:rsidR="00286810" w:rsidRPr="00172119" w:rsidRDefault="00286810" w:rsidP="00286810">
      <w:pPr>
        <w:pStyle w:val="Plattetekst"/>
        <w:pBdr>
          <w:bottom w:val="single" w:sz="4" w:space="1" w:color="auto"/>
        </w:pBdr>
        <w:rPr>
          <w:rFonts w:asciiTheme="minorHAnsi" w:hAnsiTheme="minorHAnsi" w:cstheme="minorBidi"/>
          <w:noProof w:val="0"/>
          <w:lang w:val="en-US"/>
        </w:rPr>
      </w:pPr>
    </w:p>
    <w:p w14:paraId="284E149A" w14:textId="77777777" w:rsidR="00286810" w:rsidRPr="00172119" w:rsidRDefault="00286810" w:rsidP="00286810">
      <w:pPr>
        <w:rPr>
          <w:lang w:val="en-US"/>
        </w:rPr>
      </w:pPr>
    </w:p>
    <w:p w14:paraId="56791A8E" w14:textId="77777777" w:rsidR="00286810" w:rsidRPr="00172119" w:rsidRDefault="00286810" w:rsidP="00286810">
      <w:pPr>
        <w:rPr>
          <w:lang w:val="en-US"/>
        </w:rPr>
      </w:pPr>
    </w:p>
    <w:p w14:paraId="7EFCA5C7" w14:textId="77777777" w:rsidR="00286810" w:rsidRPr="00172119" w:rsidRDefault="00286810" w:rsidP="00286810">
      <w:pPr>
        <w:pStyle w:val="Plattetekst"/>
        <w:rPr>
          <w:rFonts w:asciiTheme="minorHAnsi" w:hAnsiTheme="minorHAnsi" w:cstheme="minorBidi"/>
          <w:noProof w:val="0"/>
          <w:lang w:val="en-US"/>
        </w:rPr>
      </w:pPr>
      <w:r w:rsidRPr="00172119">
        <w:rPr>
          <w:rFonts w:asciiTheme="minorHAnsi" w:hAnsiTheme="minorHAnsi"/>
          <w:noProof w:val="0"/>
          <w:lang w:val="en-US"/>
        </w:rPr>
        <w:t>Source: Fedustria</w:t>
      </w:r>
    </w:p>
    <w:p w14:paraId="3D70CE96" w14:textId="77777777" w:rsidR="00286810" w:rsidRPr="00172119" w:rsidRDefault="00286810" w:rsidP="00286810">
      <w:pPr>
        <w:pStyle w:val="Plattetekst"/>
        <w:rPr>
          <w:rFonts w:asciiTheme="minorHAnsi" w:hAnsiTheme="minorHAnsi" w:cstheme="minorBidi"/>
          <w:noProof w:val="0"/>
          <w:lang w:val="en-US"/>
        </w:rPr>
      </w:pPr>
    </w:p>
    <w:p w14:paraId="2BB21DBF" w14:textId="77777777" w:rsidR="00286810" w:rsidRPr="00172119" w:rsidRDefault="00286810" w:rsidP="00286810">
      <w:pPr>
        <w:jc w:val="both"/>
        <w:textAlignment w:val="center"/>
        <w:rPr>
          <w:lang w:val="en-US"/>
        </w:rPr>
      </w:pPr>
      <w:r w:rsidRPr="00172119">
        <w:rPr>
          <w:i/>
          <w:lang w:val="en-US"/>
        </w:rPr>
        <w:t>Fedustria is the Belgian federation of the textile, woodworking and furniture industries. In Belgium, we represent some 1,700 companies (more than 90% of which are SMEs), which together create 36,000 direct jobs and generate a turnover of €10.9 billion, 70% of which comes from exports.</w:t>
      </w:r>
    </w:p>
    <w:p w14:paraId="6B2BE646" w14:textId="77777777" w:rsidR="00286810" w:rsidRPr="00172119" w:rsidRDefault="00286810" w:rsidP="00286810">
      <w:pPr>
        <w:pStyle w:val="Plattetekst"/>
        <w:rPr>
          <w:rFonts w:asciiTheme="minorHAnsi" w:hAnsiTheme="minorHAnsi" w:cstheme="minorBidi"/>
          <w:i/>
          <w:iCs/>
          <w:noProof w:val="0"/>
          <w:lang w:val="en-US"/>
        </w:rPr>
      </w:pPr>
    </w:p>
    <w:p w14:paraId="0E2E0CFC" w14:textId="77777777" w:rsidR="00286810" w:rsidRPr="00172119" w:rsidRDefault="00286810" w:rsidP="00286810">
      <w:pPr>
        <w:pStyle w:val="Plattetekst"/>
        <w:rPr>
          <w:rFonts w:asciiTheme="minorHAnsi" w:hAnsiTheme="minorHAnsi" w:cstheme="minorBidi"/>
          <w:i/>
          <w:iCs/>
          <w:noProof w:val="0"/>
          <w:lang w:val="en-US"/>
        </w:rPr>
      </w:pPr>
      <w:r w:rsidRPr="00172119">
        <w:rPr>
          <w:rFonts w:asciiTheme="minorHAnsi" w:hAnsiTheme="minorHAnsi"/>
          <w:i/>
          <w:noProof w:val="0"/>
          <w:lang w:val="en-US"/>
        </w:rPr>
        <w:t>Taken separately, the Belgian furniture industry accounts for a turnover of €2.3 billion and employs around 10,000 people.</w:t>
      </w:r>
    </w:p>
    <w:p w14:paraId="17B4D546" w14:textId="77777777" w:rsidR="00286810" w:rsidRPr="00172119" w:rsidRDefault="00286810" w:rsidP="00286810">
      <w:pPr>
        <w:pStyle w:val="Plattetekst"/>
        <w:rPr>
          <w:rFonts w:asciiTheme="minorHAnsi" w:hAnsiTheme="minorHAnsi" w:cstheme="minorBidi"/>
          <w:i/>
          <w:iCs/>
          <w:noProof w:val="0"/>
          <w:lang w:val="en-US"/>
        </w:rPr>
      </w:pPr>
    </w:p>
    <w:p w14:paraId="0F669AFA" w14:textId="77777777" w:rsidR="00286810" w:rsidRPr="00066710" w:rsidRDefault="00286810" w:rsidP="00286810">
      <w:pPr>
        <w:pStyle w:val="Plattetekst"/>
        <w:tabs>
          <w:tab w:val="clear" w:pos="3884"/>
        </w:tabs>
        <w:rPr>
          <w:rFonts w:asciiTheme="minorHAnsi" w:hAnsiTheme="minorHAnsi" w:cstheme="minorBidi"/>
          <w:noProof w:val="0"/>
        </w:rPr>
      </w:pPr>
      <w:r w:rsidRPr="00066710">
        <w:rPr>
          <w:rFonts w:asciiTheme="minorHAnsi" w:hAnsiTheme="minorHAnsi"/>
          <w:noProof w:val="0"/>
          <w:u w:val="single"/>
        </w:rPr>
        <w:t>For more information</w:t>
      </w:r>
      <w:r w:rsidRPr="00066710">
        <w:rPr>
          <w:rFonts w:asciiTheme="minorHAnsi" w:hAnsiTheme="minorHAnsi"/>
          <w:noProof w:val="0"/>
        </w:rPr>
        <w:t xml:space="preserve">: </w:t>
      </w:r>
    </w:p>
    <w:p w14:paraId="6E54134D" w14:textId="77777777" w:rsidR="00286810" w:rsidRPr="00066710" w:rsidRDefault="00286810" w:rsidP="00286810">
      <w:pPr>
        <w:pStyle w:val="Plattetekst"/>
        <w:tabs>
          <w:tab w:val="clear" w:pos="3884"/>
        </w:tabs>
        <w:rPr>
          <w:rStyle w:val="Hyperlink"/>
          <w:rFonts w:asciiTheme="minorHAnsi" w:eastAsiaTheme="minorEastAsia" w:hAnsiTheme="minorHAnsi" w:cstheme="minorBidi"/>
          <w:noProof w:val="0"/>
        </w:rPr>
      </w:pPr>
      <w:r w:rsidRPr="00066710">
        <w:rPr>
          <w:rFonts w:asciiTheme="minorHAnsi" w:hAnsiTheme="minorHAnsi"/>
          <w:noProof w:val="0"/>
        </w:rPr>
        <w:t>Filip De Jaeger, T +32 (0)2/528 58 61, mob. +32 (0)486/89 81 84, e-mail filip.de.jaeger@fedustria.be</w:t>
      </w:r>
    </w:p>
    <w:p w14:paraId="2A7570CD" w14:textId="77777777" w:rsidR="00286810" w:rsidRPr="00066710" w:rsidRDefault="00286810" w:rsidP="00286810">
      <w:pPr>
        <w:tabs>
          <w:tab w:val="left" w:pos="5387"/>
        </w:tabs>
        <w:jc w:val="both"/>
        <w:rPr>
          <w:rFonts w:cstheme="minorHAnsi"/>
        </w:rPr>
      </w:pPr>
    </w:p>
    <w:p w14:paraId="76753DD0" w14:textId="77777777" w:rsidR="00286810" w:rsidRPr="00066710" w:rsidRDefault="00286810" w:rsidP="00286810">
      <w:pPr>
        <w:tabs>
          <w:tab w:val="left" w:pos="5387"/>
        </w:tabs>
        <w:jc w:val="both"/>
        <w:rPr>
          <w:rFonts w:cstheme="minorHAnsi"/>
        </w:rPr>
      </w:pPr>
    </w:p>
    <w:p w14:paraId="2C548F17" w14:textId="77777777" w:rsidR="00D16ED2" w:rsidRPr="00286810" w:rsidRDefault="00D16ED2" w:rsidP="00D16ED2">
      <w:pPr>
        <w:tabs>
          <w:tab w:val="left" w:pos="5387"/>
        </w:tabs>
        <w:jc w:val="both"/>
        <w:rPr>
          <w:rFonts w:cstheme="minorHAnsi"/>
          <w:lang w:val="en-US"/>
        </w:rPr>
      </w:pPr>
    </w:p>
    <w:p w14:paraId="572A3526" w14:textId="5788CCBE" w:rsidR="00F6785F" w:rsidRPr="00F97BFF" w:rsidRDefault="00286810" w:rsidP="00F6785F">
      <w:pPr>
        <w:pStyle w:val="Kop7"/>
        <w:pBdr>
          <w:top w:val="single" w:sz="4" w:space="1" w:color="auto"/>
          <w:left w:val="single" w:sz="4" w:space="1" w:color="auto"/>
          <w:bottom w:val="single" w:sz="4" w:space="1" w:color="auto"/>
          <w:right w:val="single" w:sz="4" w:space="1" w:color="auto"/>
        </w:pBdr>
        <w:jc w:val="center"/>
        <w:rPr>
          <w:rFonts w:asciiTheme="minorHAnsi" w:hAnsiTheme="minorHAnsi" w:cstheme="minorBidi"/>
          <w:lang w:val="en-US"/>
        </w:rPr>
      </w:pPr>
      <w:r>
        <w:rPr>
          <w:rFonts w:asciiTheme="minorHAnsi" w:hAnsiTheme="minorHAnsi" w:cstheme="minorHAnsi"/>
          <w:b/>
          <w:i w:val="0"/>
          <w:color w:val="auto"/>
          <w:sz w:val="36"/>
          <w:szCs w:val="36"/>
          <w:lang w:val="en-US"/>
        </w:rPr>
        <w:lastRenderedPageBreak/>
        <w:t>FURNITURE FAIR BRUSSELS</w:t>
      </w:r>
      <w:r w:rsidR="00F6785F" w:rsidRPr="00F97BFF">
        <w:rPr>
          <w:rFonts w:asciiTheme="minorHAnsi" w:hAnsiTheme="minorHAnsi" w:cstheme="minorHAnsi"/>
          <w:b/>
          <w:i w:val="0"/>
          <w:color w:val="auto"/>
          <w:sz w:val="36"/>
          <w:szCs w:val="36"/>
          <w:lang w:val="en-US"/>
        </w:rPr>
        <w:t xml:space="preserve"> 2022</w:t>
      </w:r>
    </w:p>
    <w:p w14:paraId="0945E1A1" w14:textId="77777777" w:rsidR="00F6785F" w:rsidRPr="00F97BFF" w:rsidRDefault="00F6785F" w:rsidP="00F6785F">
      <w:pPr>
        <w:pBdr>
          <w:top w:val="single" w:sz="4" w:space="1" w:color="auto"/>
          <w:left w:val="single" w:sz="4" w:space="1" w:color="auto"/>
          <w:bottom w:val="single" w:sz="4" w:space="1" w:color="auto"/>
          <w:right w:val="single" w:sz="4" w:space="1" w:color="auto"/>
        </w:pBdr>
        <w:rPr>
          <w:rFonts w:cstheme="minorHAnsi"/>
          <w:lang w:val="en-US"/>
        </w:rPr>
      </w:pPr>
    </w:p>
    <w:p w14:paraId="562B0DA4" w14:textId="130881CC" w:rsidR="00735310" w:rsidRPr="00F97BFF" w:rsidRDefault="00735310">
      <w:pPr>
        <w:rPr>
          <w:lang w:val="en-US"/>
        </w:rPr>
      </w:pPr>
    </w:p>
    <w:p w14:paraId="4868388A" w14:textId="33B8384F" w:rsidR="006C0525" w:rsidRDefault="006C0525">
      <w:pPr>
        <w:rPr>
          <w:lang w:val="en-US"/>
        </w:rPr>
      </w:pPr>
      <w:r w:rsidRPr="006C0525">
        <w:rPr>
          <w:lang w:val="en-US"/>
        </w:rPr>
        <w:t>During the next 15 to 20 m</w:t>
      </w:r>
      <w:r>
        <w:rPr>
          <w:lang w:val="en-US"/>
        </w:rPr>
        <w:t xml:space="preserve">inutes we don’t want to bother you too much with more numbers so we will keep this quite short. This year’s edition we had the </w:t>
      </w:r>
      <w:r w:rsidR="00D80BA5">
        <w:rPr>
          <w:lang w:val="en-US"/>
        </w:rPr>
        <w:t>honor</w:t>
      </w:r>
      <w:r>
        <w:rPr>
          <w:lang w:val="en-US"/>
        </w:rPr>
        <w:t xml:space="preserve"> of welcoming </w:t>
      </w:r>
      <w:r w:rsidR="00647B06">
        <w:rPr>
          <w:lang w:val="en-US"/>
        </w:rPr>
        <w:t>2</w:t>
      </w:r>
      <w:r w:rsidR="002834B7">
        <w:rPr>
          <w:lang w:val="en-US"/>
        </w:rPr>
        <w:t>15</w:t>
      </w:r>
      <w:r>
        <w:rPr>
          <w:lang w:val="en-US"/>
        </w:rPr>
        <w:t xml:space="preserve"> furniture manufacturers. Compared to last year that’s an increase of </w:t>
      </w:r>
      <w:r w:rsidR="002834B7">
        <w:rPr>
          <w:lang w:val="en-US"/>
        </w:rPr>
        <w:t>47 exhibitors.</w:t>
      </w:r>
    </w:p>
    <w:p w14:paraId="6D46A5AB" w14:textId="2C9AD04B" w:rsidR="006C0525" w:rsidRPr="006C0525" w:rsidRDefault="006C0525">
      <w:pPr>
        <w:rPr>
          <w:lang w:val="en-US"/>
        </w:rPr>
      </w:pPr>
      <w:r>
        <w:rPr>
          <w:lang w:val="en-US"/>
        </w:rPr>
        <w:t xml:space="preserve">But what satisfies us most is the fact that with this increase we are continuously confirming our international identity. Which is a trend that we aim to strengthen in the coming years. </w:t>
      </w:r>
      <w:r w:rsidR="0023234D">
        <w:rPr>
          <w:lang w:val="en-US"/>
        </w:rPr>
        <w:t xml:space="preserve">This year we have for example </w:t>
      </w:r>
      <w:r w:rsidR="002834B7">
        <w:rPr>
          <w:lang w:val="en-US"/>
        </w:rPr>
        <w:t>7</w:t>
      </w:r>
      <w:r w:rsidR="0023234D">
        <w:rPr>
          <w:lang w:val="en-US"/>
        </w:rPr>
        <w:t xml:space="preserve"> more exhibitors coming from Scandinavia</w:t>
      </w:r>
      <w:r w:rsidR="005D2951">
        <w:rPr>
          <w:lang w:val="en-US"/>
        </w:rPr>
        <w:t>.</w:t>
      </w:r>
    </w:p>
    <w:p w14:paraId="790B6B68" w14:textId="38919420" w:rsidR="00735310" w:rsidRPr="00D80BA5" w:rsidRDefault="0023234D">
      <w:pPr>
        <w:rPr>
          <w:lang w:val="en-US"/>
        </w:rPr>
      </w:pPr>
      <w:r>
        <w:rPr>
          <w:lang w:val="en-US"/>
        </w:rPr>
        <w:t>When it comes to the amount of visitors we have noticed a status quo when looking at the pre-registrations.</w:t>
      </w:r>
      <w:r w:rsidR="00B8579A">
        <w:rPr>
          <w:lang w:val="en-US"/>
        </w:rPr>
        <w:t xml:space="preserve"> As our VIP visitors were quick to reply on our invitations, we forecast, or hope for a slight increase of visitors </w:t>
      </w:r>
      <w:r w:rsidR="005D2951">
        <w:rPr>
          <w:lang w:val="en-US"/>
        </w:rPr>
        <w:t>compared to last year</w:t>
      </w:r>
      <w:r w:rsidR="00B8579A">
        <w:rPr>
          <w:lang w:val="en-US"/>
        </w:rPr>
        <w:t xml:space="preserve">. </w:t>
      </w:r>
      <w:r w:rsidR="0041467A">
        <w:rPr>
          <w:lang w:val="en-US"/>
        </w:rPr>
        <w:t>Seen that most of our visitors come from Europe, we are lucky not to feel the influence of the current international conflicts</w:t>
      </w:r>
      <w:r w:rsidR="005D2951">
        <w:rPr>
          <w:lang w:val="en-US"/>
        </w:rPr>
        <w:t xml:space="preserve"> too much</w:t>
      </w:r>
      <w:r w:rsidR="0041467A">
        <w:rPr>
          <w:lang w:val="en-US"/>
        </w:rPr>
        <w:t xml:space="preserve">. </w:t>
      </w:r>
      <w:r w:rsidR="001F3593">
        <w:rPr>
          <w:lang w:val="en-US"/>
        </w:rPr>
        <w:t>But for future years, w</w:t>
      </w:r>
      <w:r w:rsidR="0041467A">
        <w:rPr>
          <w:lang w:val="en-US"/>
        </w:rPr>
        <w:t>e</w:t>
      </w:r>
      <w:r w:rsidR="00B8579A">
        <w:rPr>
          <w:lang w:val="en-US"/>
        </w:rPr>
        <w:t xml:space="preserve"> strongly believe that the number of visitors can</w:t>
      </w:r>
      <w:r w:rsidR="001F3593">
        <w:rPr>
          <w:lang w:val="en-US"/>
        </w:rPr>
        <w:t xml:space="preserve"> significantly</w:t>
      </w:r>
      <w:r w:rsidR="00B8579A">
        <w:rPr>
          <w:lang w:val="en-US"/>
        </w:rPr>
        <w:t xml:space="preserve"> increase!</w:t>
      </w:r>
      <w:r w:rsidR="00685F6B">
        <w:rPr>
          <w:lang w:val="en-US"/>
        </w:rPr>
        <w:t xml:space="preserve"> </w:t>
      </w:r>
      <w:r w:rsidR="005D2951" w:rsidRPr="00D80BA5">
        <w:rPr>
          <w:lang w:val="en-US"/>
        </w:rPr>
        <w:t>We will put our focus on new regions,</w:t>
      </w:r>
      <w:r w:rsidR="00D80BA5" w:rsidRPr="00D80BA5">
        <w:rPr>
          <w:lang w:val="en-US"/>
        </w:rPr>
        <w:t xml:space="preserve"> people</w:t>
      </w:r>
      <w:r w:rsidR="00D80BA5">
        <w:rPr>
          <w:lang w:val="en-US"/>
        </w:rPr>
        <w:t xml:space="preserve"> active in the hospitality sector, but we also aim to improve our communication during the year with more visibility and more content.</w:t>
      </w:r>
    </w:p>
    <w:p w14:paraId="720A4026" w14:textId="12E6FB27" w:rsidR="00B8579A" w:rsidRDefault="00B8579A">
      <w:pPr>
        <w:rPr>
          <w:lang w:val="en-US"/>
        </w:rPr>
      </w:pPr>
      <w:r>
        <w:rPr>
          <w:lang w:val="en-US"/>
        </w:rPr>
        <w:t>As you all have read and written about, the Furniture Fair Brussels has</w:t>
      </w:r>
      <w:r w:rsidR="00685F6B">
        <w:rPr>
          <w:lang w:val="en-US"/>
        </w:rPr>
        <w:t xml:space="preserve"> </w:t>
      </w:r>
      <w:r>
        <w:rPr>
          <w:lang w:val="en-US"/>
        </w:rPr>
        <w:t>very recently changed its management and thereby also its course</w:t>
      </w:r>
      <w:r w:rsidR="00685F6B">
        <w:rPr>
          <w:lang w:val="en-US"/>
        </w:rPr>
        <w:t xml:space="preserve">. Our plan is not to bring a complete transformation but </w:t>
      </w:r>
      <w:r w:rsidR="000C4A48">
        <w:rPr>
          <w:lang w:val="en-US"/>
        </w:rPr>
        <w:t xml:space="preserve">to </w:t>
      </w:r>
      <w:r w:rsidR="00685F6B">
        <w:rPr>
          <w:lang w:val="en-US"/>
        </w:rPr>
        <w:t xml:space="preserve">improve there where we feel is needed and use our strengths more effectively. </w:t>
      </w:r>
    </w:p>
    <w:p w14:paraId="017BA538" w14:textId="778D3C20" w:rsidR="00685F6B" w:rsidRDefault="00685F6B">
      <w:pPr>
        <w:rPr>
          <w:lang w:val="en-US"/>
        </w:rPr>
      </w:pPr>
      <w:r>
        <w:rPr>
          <w:lang w:val="en-US"/>
        </w:rPr>
        <w:t>To get there, we want to focus on 3 main points of attention: Realism</w:t>
      </w:r>
      <w:r w:rsidR="002928FF">
        <w:rPr>
          <w:lang w:val="en-US"/>
        </w:rPr>
        <w:t xml:space="preserve">, </w:t>
      </w:r>
      <w:r w:rsidR="001E2C5F">
        <w:rPr>
          <w:lang w:val="en-US"/>
        </w:rPr>
        <w:t>reliability</w:t>
      </w:r>
      <w:r w:rsidR="002928FF">
        <w:rPr>
          <w:lang w:val="en-US"/>
        </w:rPr>
        <w:t xml:space="preserve"> and </w:t>
      </w:r>
      <w:r w:rsidR="00F97BFF">
        <w:rPr>
          <w:lang w:val="en-US"/>
        </w:rPr>
        <w:t>creating</w:t>
      </w:r>
      <w:r w:rsidR="002928FF">
        <w:rPr>
          <w:lang w:val="en-US"/>
        </w:rPr>
        <w:t xml:space="preserve"> an</w:t>
      </w:r>
      <w:r w:rsidR="00F97BFF">
        <w:rPr>
          <w:lang w:val="en-US"/>
        </w:rPr>
        <w:t xml:space="preserve"> unforgettable</w:t>
      </w:r>
      <w:r w:rsidR="002928FF">
        <w:rPr>
          <w:lang w:val="en-US"/>
        </w:rPr>
        <w:t xml:space="preserve"> experience</w:t>
      </w:r>
      <w:r w:rsidR="005D2951">
        <w:rPr>
          <w:lang w:val="en-US"/>
        </w:rPr>
        <w:t xml:space="preserve"> to our visitors</w:t>
      </w:r>
      <w:r w:rsidR="002928FF">
        <w:rPr>
          <w:lang w:val="en-US"/>
        </w:rPr>
        <w:t>.</w:t>
      </w:r>
    </w:p>
    <w:p w14:paraId="3173C70F" w14:textId="2B63511C" w:rsidR="002F39F2" w:rsidRDefault="000E262A">
      <w:pPr>
        <w:rPr>
          <w:lang w:val="en-US"/>
        </w:rPr>
      </w:pPr>
      <w:r>
        <w:rPr>
          <w:lang w:val="en-US"/>
        </w:rPr>
        <w:t>In short: t</w:t>
      </w:r>
      <w:r w:rsidR="002F39F2">
        <w:rPr>
          <w:lang w:val="en-US"/>
        </w:rPr>
        <w:t xml:space="preserve">he Furniture Fair has always been a very realistic and </w:t>
      </w:r>
      <w:r w:rsidR="00F97BFF">
        <w:rPr>
          <w:lang w:val="en-US"/>
        </w:rPr>
        <w:t>efficient</w:t>
      </w:r>
      <w:r w:rsidR="002F39F2">
        <w:rPr>
          <w:lang w:val="en-US"/>
        </w:rPr>
        <w:t xml:space="preserve"> fair. </w:t>
      </w:r>
      <w:r w:rsidR="00F97BFF">
        <w:rPr>
          <w:lang w:val="en-US"/>
        </w:rPr>
        <w:t xml:space="preserve">On one hand </w:t>
      </w:r>
      <w:r w:rsidR="002F39F2">
        <w:rPr>
          <w:lang w:val="en-US"/>
        </w:rPr>
        <w:t xml:space="preserve">for our visitors, who can visit a ‘human-sized’ fair where they can find a very </w:t>
      </w:r>
      <w:r w:rsidR="00F97BFF">
        <w:rPr>
          <w:lang w:val="en-US"/>
        </w:rPr>
        <w:t>broad and competitive</w:t>
      </w:r>
      <w:r w:rsidR="00203B4B">
        <w:rPr>
          <w:lang w:val="en-US"/>
        </w:rPr>
        <w:t xml:space="preserve"> offer</w:t>
      </w:r>
      <w:r w:rsidR="002F39F2">
        <w:rPr>
          <w:lang w:val="en-US"/>
        </w:rPr>
        <w:t xml:space="preserve">. </w:t>
      </w:r>
      <w:r w:rsidR="00203B4B">
        <w:rPr>
          <w:lang w:val="en-US"/>
        </w:rPr>
        <w:t xml:space="preserve">On the other hand </w:t>
      </w:r>
      <w:r w:rsidR="002F39F2">
        <w:rPr>
          <w:lang w:val="en-US"/>
        </w:rPr>
        <w:t xml:space="preserve">for our exhibitors who </w:t>
      </w:r>
      <w:r>
        <w:rPr>
          <w:lang w:val="en-US"/>
        </w:rPr>
        <w:t>can participate at</w:t>
      </w:r>
      <w:r w:rsidR="002F39F2">
        <w:rPr>
          <w:lang w:val="en-US"/>
        </w:rPr>
        <w:t xml:space="preserve"> a </w:t>
      </w:r>
      <w:r w:rsidR="00F97BFF">
        <w:rPr>
          <w:lang w:val="en-US"/>
        </w:rPr>
        <w:t>more</w:t>
      </w:r>
      <w:r w:rsidR="002F39F2">
        <w:rPr>
          <w:lang w:val="en-US"/>
        </w:rPr>
        <w:t xml:space="preserve"> realistic price per square meter </w:t>
      </w:r>
      <w:r>
        <w:rPr>
          <w:lang w:val="en-US"/>
        </w:rPr>
        <w:t xml:space="preserve">and make use of our </w:t>
      </w:r>
      <w:r w:rsidR="002F39F2">
        <w:rPr>
          <w:lang w:val="en-US"/>
        </w:rPr>
        <w:t xml:space="preserve">very </w:t>
      </w:r>
      <w:r>
        <w:rPr>
          <w:lang w:val="en-US"/>
        </w:rPr>
        <w:t xml:space="preserve">experienced team for an efficient and thus </w:t>
      </w:r>
      <w:r w:rsidR="00F97BFF">
        <w:rPr>
          <w:lang w:val="en-US"/>
        </w:rPr>
        <w:t>smooth</w:t>
      </w:r>
      <w:r>
        <w:rPr>
          <w:lang w:val="en-US"/>
        </w:rPr>
        <w:t xml:space="preserve"> organization. </w:t>
      </w:r>
      <w:r w:rsidR="00F97BFF">
        <w:rPr>
          <w:lang w:val="en-US"/>
        </w:rPr>
        <w:t>We want to keep and strengthen this element of the past!</w:t>
      </w:r>
    </w:p>
    <w:p w14:paraId="5EF7944E" w14:textId="058D9671" w:rsidR="00D90AA2" w:rsidRDefault="00F97BFF">
      <w:pPr>
        <w:rPr>
          <w:lang w:val="en-US"/>
        </w:rPr>
      </w:pPr>
      <w:r>
        <w:rPr>
          <w:lang w:val="en-US"/>
        </w:rPr>
        <w:t>Second and perhaps most important focus:</w:t>
      </w:r>
      <w:r w:rsidR="002F39F2">
        <w:rPr>
          <w:lang w:val="en-US"/>
        </w:rPr>
        <w:t xml:space="preserve"> </w:t>
      </w:r>
      <w:r>
        <w:rPr>
          <w:lang w:val="en-US"/>
        </w:rPr>
        <w:t>reliability</w:t>
      </w:r>
      <w:r w:rsidR="002F39F2">
        <w:rPr>
          <w:lang w:val="en-US"/>
        </w:rPr>
        <w:t>?</w:t>
      </w:r>
      <w:r>
        <w:rPr>
          <w:lang w:val="en-US"/>
        </w:rPr>
        <w:t xml:space="preserve"> E</w:t>
      </w:r>
      <w:r w:rsidR="002F39F2">
        <w:rPr>
          <w:lang w:val="en-US"/>
        </w:rPr>
        <w:t xml:space="preserve">specially in these times of crisis, or at least in a period filled with uncertainties and questions about the future, Brussels want </w:t>
      </w:r>
      <w:r w:rsidR="000E262A">
        <w:rPr>
          <w:lang w:val="en-US"/>
        </w:rPr>
        <w:t>to be a landmark for the whole sector.</w:t>
      </w:r>
      <w:r w:rsidR="000A3399">
        <w:rPr>
          <w:lang w:val="en-US"/>
        </w:rPr>
        <w:t xml:space="preserve"> Bringing a fair to live doesn’t only mean a lot of work for us as organizer. It implies a lot of preparations and planning for our exhibitors. They need to make sure that they have their full team available during the show, they need to organize stand construction and hope their preferred partner doesn’t have a shortage of personnel and a free calendar. They need to make sure that the new collection is ready in time for presentation at the show. And all of this needs to fit into the marketing budget which was set months before.</w:t>
      </w:r>
    </w:p>
    <w:p w14:paraId="16A712E8" w14:textId="10F3BA95" w:rsidR="002F39F2" w:rsidRDefault="001E2C5F">
      <w:pPr>
        <w:rPr>
          <w:lang w:val="en-US"/>
        </w:rPr>
      </w:pPr>
      <w:r w:rsidRPr="00B13D9C">
        <w:rPr>
          <w:lang w:val="en-US"/>
        </w:rPr>
        <w:t xml:space="preserve">Exhibitors, but also buyers </w:t>
      </w:r>
      <w:r w:rsidR="005F49CD" w:rsidRPr="00B13D9C">
        <w:rPr>
          <w:lang w:val="en-US"/>
        </w:rPr>
        <w:t xml:space="preserve">and all other stake holders should know that when they mark the Furniture Fair Brussels in their agenda, it is as if it was written in stone. </w:t>
      </w:r>
      <w:r w:rsidR="00BF1717" w:rsidRPr="00B13D9C">
        <w:rPr>
          <w:lang w:val="en-US"/>
        </w:rPr>
        <w:t>Whether it be with 100% occupancy or 60%, we have decided not to shift dates.</w:t>
      </w:r>
    </w:p>
    <w:p w14:paraId="2B4690C8" w14:textId="776C50EE" w:rsidR="00F97BFF" w:rsidRDefault="00F97BFF">
      <w:pPr>
        <w:rPr>
          <w:lang w:val="en-US"/>
        </w:rPr>
      </w:pPr>
      <w:r>
        <w:rPr>
          <w:lang w:val="en-US"/>
        </w:rPr>
        <w:t xml:space="preserve">Last but not least we want to create an </w:t>
      </w:r>
      <w:r w:rsidR="00420DC9">
        <w:rPr>
          <w:lang w:val="en-US"/>
        </w:rPr>
        <w:t>unforgettable</w:t>
      </w:r>
      <w:r>
        <w:rPr>
          <w:lang w:val="en-US"/>
        </w:rPr>
        <w:t xml:space="preserve"> experience. People should enter the fair smiling and leave the fair with a sense of joy and moments they will not soon forget. Especially in the Benelux region, our fair is seen as the ‘furniture heyday’. We want to use this moment to reconnect and create direct contact.</w:t>
      </w:r>
    </w:p>
    <w:p w14:paraId="688D92A1" w14:textId="62CB3DD7" w:rsidR="005F49CD" w:rsidRPr="00E06BA1" w:rsidRDefault="00D022C7">
      <w:pPr>
        <w:rPr>
          <w:rFonts w:cstheme="minorHAnsi"/>
          <w:lang w:val="en-US"/>
        </w:rPr>
      </w:pPr>
      <w:r>
        <w:rPr>
          <w:lang w:val="en-US"/>
        </w:rPr>
        <w:lastRenderedPageBreak/>
        <w:t xml:space="preserve">This </w:t>
      </w:r>
      <w:r w:rsidRPr="00F97BFF">
        <w:rPr>
          <w:lang w:val="en-US"/>
        </w:rPr>
        <w:t>year, as a matter as foretaste, all our</w:t>
      </w:r>
      <w:r>
        <w:rPr>
          <w:lang w:val="en-US"/>
        </w:rPr>
        <w:t xml:space="preserve"> VIP visitors received a Furniture Fair coin waiting for them in their hotel room, and will  be distributed to all visitors at the entrances</w:t>
      </w:r>
      <w:r w:rsidR="00F97BFF">
        <w:rPr>
          <w:lang w:val="en-US"/>
        </w:rPr>
        <w:t xml:space="preserve"> to build up the tension</w:t>
      </w:r>
      <w:r>
        <w:rPr>
          <w:lang w:val="en-US"/>
        </w:rPr>
        <w:t xml:space="preserve">. This coin can be used here on-site. You will find such a coin in your press folder too. Don’t hesitate to try </w:t>
      </w:r>
      <w:r w:rsidRPr="00E06BA1">
        <w:rPr>
          <w:rFonts w:cstheme="minorHAnsi"/>
          <w:lang w:val="en-US"/>
        </w:rPr>
        <w:t>it out in one of our Bubble Gum machines next to the VIP desk just below this restaurant.</w:t>
      </w:r>
    </w:p>
    <w:p w14:paraId="419E006B" w14:textId="7583C1F3" w:rsidR="00F97BFF" w:rsidRPr="00486AD0" w:rsidRDefault="00F97BFF" w:rsidP="00F97BFF">
      <w:pPr>
        <w:rPr>
          <w:rFonts w:cstheme="minorHAnsi"/>
          <w:lang w:val="en-US"/>
        </w:rPr>
      </w:pPr>
      <w:r>
        <w:rPr>
          <w:lang w:val="en-US"/>
        </w:rPr>
        <w:t xml:space="preserve">In </w:t>
      </w:r>
      <w:r w:rsidRPr="00486AD0">
        <w:rPr>
          <w:rFonts w:cstheme="minorHAnsi"/>
          <w:lang w:val="en-US"/>
        </w:rPr>
        <w:t>order to improve these focus areas, we strongly believe communication is key: towards our customers, visitors, suppliers and press relations of course. That’s why we have reinforced our team by bringing back Thomas as head of communication and marketing, and myself as general director to strengthen and broaden the relationship we have with our exhibitors and partners. Personal contact and dialogue is what we believe in, so please don’t hesitate to come and find us to tell us about your side or vision of our business.</w:t>
      </w:r>
    </w:p>
    <w:p w14:paraId="52E94352" w14:textId="3EE244E5" w:rsidR="0041467A" w:rsidRPr="00486AD0" w:rsidRDefault="0041467A">
      <w:pPr>
        <w:rPr>
          <w:rFonts w:cstheme="minorHAnsi"/>
          <w:lang w:val="en-US"/>
        </w:rPr>
      </w:pPr>
      <w:r w:rsidRPr="00486AD0">
        <w:rPr>
          <w:rFonts w:cstheme="minorHAnsi"/>
          <w:lang w:val="en-US"/>
        </w:rPr>
        <w:t>This said, we will end the presentation with some numbers and facts about this edition of the Furniture Fair Brussels:</w:t>
      </w:r>
    </w:p>
    <w:p w14:paraId="0979DB96" w14:textId="12CA99E8" w:rsidR="0041467A" w:rsidRPr="00486AD0" w:rsidRDefault="0041467A" w:rsidP="0041467A">
      <w:pPr>
        <w:pStyle w:val="Lijstalinea"/>
        <w:numPr>
          <w:ilvl w:val="0"/>
          <w:numId w:val="17"/>
        </w:numPr>
        <w:rPr>
          <w:rFonts w:asciiTheme="minorHAnsi" w:hAnsiTheme="minorHAnsi" w:cstheme="minorHAnsi"/>
          <w:sz w:val="22"/>
          <w:szCs w:val="22"/>
          <w:lang w:val="en-US"/>
        </w:rPr>
      </w:pPr>
      <w:r w:rsidRPr="00486AD0">
        <w:rPr>
          <w:rFonts w:asciiTheme="minorHAnsi" w:hAnsiTheme="minorHAnsi" w:cstheme="minorHAnsi"/>
          <w:sz w:val="22"/>
          <w:szCs w:val="22"/>
          <w:lang w:val="en-US"/>
        </w:rPr>
        <w:t>Statistics</w:t>
      </w:r>
      <w:r w:rsidR="002834B7" w:rsidRPr="00486AD0">
        <w:rPr>
          <w:rFonts w:asciiTheme="minorHAnsi" w:hAnsiTheme="minorHAnsi" w:cstheme="minorHAnsi"/>
          <w:sz w:val="22"/>
          <w:szCs w:val="22"/>
          <w:lang w:val="en-US"/>
        </w:rPr>
        <w:t>:</w:t>
      </w:r>
    </w:p>
    <w:p w14:paraId="2FB445E7" w14:textId="77777777" w:rsidR="00486AD0" w:rsidRPr="00486AD0" w:rsidRDefault="002834B7" w:rsidP="00486AD0">
      <w:pPr>
        <w:pStyle w:val="Lijstalinea"/>
        <w:numPr>
          <w:ilvl w:val="1"/>
          <w:numId w:val="17"/>
        </w:numPr>
        <w:rPr>
          <w:rFonts w:asciiTheme="minorHAnsi" w:hAnsiTheme="minorHAnsi" w:cstheme="minorHAnsi"/>
          <w:sz w:val="22"/>
          <w:szCs w:val="22"/>
          <w:lang w:val="en-US"/>
        </w:rPr>
      </w:pPr>
      <w:r w:rsidRPr="00486AD0">
        <w:rPr>
          <w:rFonts w:asciiTheme="minorHAnsi" w:hAnsiTheme="minorHAnsi" w:cstheme="minorHAnsi"/>
          <w:sz w:val="22"/>
          <w:szCs w:val="22"/>
          <w:lang w:val="en-US"/>
        </w:rPr>
        <w:t>215 exhibitors in total</w:t>
      </w:r>
    </w:p>
    <w:p w14:paraId="32CB681D" w14:textId="48E82B6F" w:rsidR="00486AD0" w:rsidRDefault="00486AD0" w:rsidP="00486AD0">
      <w:pPr>
        <w:pStyle w:val="Lijstalinea"/>
        <w:numPr>
          <w:ilvl w:val="1"/>
          <w:numId w:val="17"/>
        </w:numPr>
        <w:rPr>
          <w:rFonts w:asciiTheme="minorHAnsi" w:hAnsiTheme="minorHAnsi" w:cstheme="minorHAnsi"/>
          <w:sz w:val="22"/>
          <w:szCs w:val="22"/>
          <w:lang w:val="en-US"/>
        </w:rPr>
      </w:pPr>
      <w:r w:rsidRPr="00486AD0">
        <w:rPr>
          <w:rFonts w:asciiTheme="minorHAnsi" w:hAnsiTheme="minorHAnsi" w:cstheme="minorHAnsi"/>
          <w:sz w:val="22"/>
          <w:szCs w:val="22"/>
          <w:lang w:val="en-US"/>
        </w:rPr>
        <w:t>10 more exhibitors in Brussels By Night compared to 2021</w:t>
      </w:r>
    </w:p>
    <w:p w14:paraId="0DD722CF" w14:textId="5D8CD40B" w:rsidR="00E8327E" w:rsidRPr="00486AD0" w:rsidRDefault="00483CD1" w:rsidP="00486AD0">
      <w:pPr>
        <w:pStyle w:val="Lijstalinea"/>
        <w:numPr>
          <w:ilvl w:val="1"/>
          <w:numId w:val="17"/>
        </w:numPr>
        <w:rPr>
          <w:rFonts w:asciiTheme="minorHAnsi" w:hAnsiTheme="minorHAnsi" w:cstheme="minorHAnsi"/>
          <w:sz w:val="22"/>
          <w:szCs w:val="22"/>
          <w:lang w:val="en-US"/>
        </w:rPr>
      </w:pPr>
      <w:r>
        <w:rPr>
          <w:rFonts w:asciiTheme="minorHAnsi" w:hAnsiTheme="minorHAnsi" w:cstheme="minorHAnsi"/>
          <w:sz w:val="22"/>
          <w:szCs w:val="22"/>
          <w:lang w:val="en-US"/>
        </w:rPr>
        <w:t xml:space="preserve">6800 square meters stand surface </w:t>
      </w:r>
      <w:r w:rsidR="00E8327E">
        <w:rPr>
          <w:rFonts w:asciiTheme="minorHAnsi" w:hAnsiTheme="minorHAnsi" w:cstheme="minorHAnsi"/>
          <w:sz w:val="22"/>
          <w:szCs w:val="22"/>
          <w:lang w:val="en-US"/>
        </w:rPr>
        <w:t>more than in 2021</w:t>
      </w:r>
    </w:p>
    <w:p w14:paraId="2D591EB1" w14:textId="14F9055B" w:rsidR="0041467A" w:rsidRPr="00197E47" w:rsidRDefault="00486AD0" w:rsidP="0041467A">
      <w:pPr>
        <w:pStyle w:val="Lijstalinea"/>
        <w:numPr>
          <w:ilvl w:val="1"/>
          <w:numId w:val="17"/>
        </w:numPr>
        <w:rPr>
          <w:rFonts w:asciiTheme="minorHAnsi" w:hAnsiTheme="minorHAnsi" w:cstheme="minorHAnsi"/>
          <w:sz w:val="22"/>
          <w:szCs w:val="22"/>
          <w:lang w:val="en-US"/>
        </w:rPr>
      </w:pPr>
      <w:r w:rsidRPr="00197E47">
        <w:rPr>
          <w:rFonts w:asciiTheme="minorHAnsi" w:hAnsiTheme="minorHAnsi" w:cstheme="minorHAnsi"/>
          <w:sz w:val="22"/>
          <w:szCs w:val="22"/>
          <w:lang w:val="en-US"/>
        </w:rPr>
        <w:t>Nationalities:</w:t>
      </w:r>
      <w:r w:rsidR="00197E47">
        <w:rPr>
          <w:rFonts w:asciiTheme="minorHAnsi" w:hAnsiTheme="minorHAnsi" w:cstheme="minorHAnsi"/>
          <w:sz w:val="22"/>
          <w:szCs w:val="22"/>
          <w:lang w:val="en-US"/>
        </w:rPr>
        <w:t xml:space="preserve"> in</w:t>
      </w:r>
      <w:r w:rsidR="00197E47" w:rsidRPr="00197E47">
        <w:rPr>
          <w:rFonts w:asciiTheme="minorHAnsi" w:hAnsiTheme="minorHAnsi" w:cstheme="minorHAnsi"/>
          <w:sz w:val="22"/>
          <w:szCs w:val="22"/>
          <w:lang w:val="en-US"/>
        </w:rPr>
        <w:t xml:space="preserve"> </w:t>
      </w:r>
      <w:r w:rsidR="00197E47">
        <w:rPr>
          <w:rFonts w:asciiTheme="minorHAnsi" w:hAnsiTheme="minorHAnsi" w:cstheme="minorHAnsi"/>
          <w:sz w:val="22"/>
          <w:szCs w:val="22"/>
          <w:lang w:val="en-US"/>
        </w:rPr>
        <w:t>a</w:t>
      </w:r>
      <w:r w:rsidR="00197E47" w:rsidRPr="00197E47">
        <w:rPr>
          <w:rFonts w:asciiTheme="minorHAnsi" w:hAnsiTheme="minorHAnsi" w:cstheme="minorHAnsi"/>
          <w:sz w:val="22"/>
          <w:szCs w:val="22"/>
          <w:lang w:val="en-US"/>
        </w:rPr>
        <w:t xml:space="preserve">lphabetical </w:t>
      </w:r>
      <w:r w:rsidR="00197E47">
        <w:rPr>
          <w:rFonts w:asciiTheme="minorHAnsi" w:hAnsiTheme="minorHAnsi" w:cstheme="minorHAnsi"/>
          <w:sz w:val="22"/>
          <w:szCs w:val="22"/>
          <w:lang w:val="en-US"/>
        </w:rPr>
        <w:t xml:space="preserve">order </w:t>
      </w:r>
      <w:r w:rsidR="00197E47" w:rsidRPr="00197E47">
        <w:rPr>
          <w:rFonts w:asciiTheme="minorHAnsi" w:hAnsiTheme="minorHAnsi" w:cstheme="minorHAnsi"/>
          <w:sz w:val="22"/>
          <w:szCs w:val="22"/>
          <w:lang w:val="en-US"/>
        </w:rPr>
        <w:t>and by q</w:t>
      </w:r>
      <w:r w:rsidR="00197E47">
        <w:rPr>
          <w:rFonts w:asciiTheme="minorHAnsi" w:hAnsiTheme="minorHAnsi" w:cstheme="minorHAnsi"/>
          <w:sz w:val="22"/>
          <w:szCs w:val="22"/>
          <w:lang w:val="en-US"/>
        </w:rPr>
        <w:t>uantity</w:t>
      </w:r>
    </w:p>
    <w:p w14:paraId="70A0DB5E" w14:textId="2C4ADE78" w:rsidR="00486AD0" w:rsidRPr="00197E47" w:rsidRDefault="00486AD0" w:rsidP="00486AD0">
      <w:pPr>
        <w:ind w:left="720"/>
        <w:rPr>
          <w:rFonts w:cstheme="minorHAnsi"/>
          <w:lang w:val="en-US"/>
        </w:rPr>
      </w:pPr>
    </w:p>
    <w:tbl>
      <w:tblPr>
        <w:tblW w:w="7160" w:type="dxa"/>
        <w:tblCellMar>
          <w:left w:w="70" w:type="dxa"/>
          <w:right w:w="70" w:type="dxa"/>
        </w:tblCellMar>
        <w:tblLook w:val="04A0" w:firstRow="1" w:lastRow="0" w:firstColumn="1" w:lastColumn="0" w:noHBand="0" w:noVBand="1"/>
      </w:tblPr>
      <w:tblGrid>
        <w:gridCol w:w="2140"/>
        <w:gridCol w:w="960"/>
        <w:gridCol w:w="960"/>
        <w:gridCol w:w="2140"/>
        <w:gridCol w:w="960"/>
      </w:tblGrid>
      <w:tr w:rsidR="00197E47" w:rsidRPr="00197E47" w14:paraId="100109E2" w14:textId="77777777" w:rsidTr="00197E47">
        <w:trPr>
          <w:trHeight w:val="315"/>
        </w:trPr>
        <w:tc>
          <w:tcPr>
            <w:tcW w:w="2140" w:type="dxa"/>
            <w:tcBorders>
              <w:top w:val="single" w:sz="8" w:space="0" w:color="auto"/>
              <w:left w:val="single" w:sz="8" w:space="0" w:color="auto"/>
              <w:bottom w:val="single" w:sz="8" w:space="0" w:color="auto"/>
              <w:right w:val="nil"/>
            </w:tcBorders>
            <w:shd w:val="clear" w:color="auto" w:fill="auto"/>
            <w:noWrap/>
            <w:vAlign w:val="bottom"/>
            <w:hideMark/>
          </w:tcPr>
          <w:p w14:paraId="35095143" w14:textId="77777777" w:rsidR="00197E47" w:rsidRPr="00197E47" w:rsidRDefault="00197E47" w:rsidP="00197E47">
            <w:pPr>
              <w:spacing w:after="0" w:line="240" w:lineRule="auto"/>
              <w:rPr>
                <w:rFonts w:ascii="Calibri" w:eastAsia="Times New Roman" w:hAnsi="Calibri" w:cs="Calibri"/>
                <w:b/>
                <w:bCs/>
                <w:color w:val="000000"/>
                <w:lang w:eastAsia="fr-BE"/>
              </w:rPr>
            </w:pPr>
            <w:r w:rsidRPr="00197E47">
              <w:rPr>
                <w:rFonts w:ascii="Calibri" w:eastAsia="Times New Roman" w:hAnsi="Calibri" w:cs="Calibri"/>
                <w:b/>
                <w:bCs/>
                <w:color w:val="000000"/>
                <w:lang w:eastAsia="fr-BE"/>
              </w:rPr>
              <w:t>Country of Origin</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7F3921" w14:textId="77777777" w:rsidR="00197E47" w:rsidRPr="00197E47" w:rsidRDefault="00197E47" w:rsidP="00197E47">
            <w:pPr>
              <w:spacing w:after="0" w:line="240" w:lineRule="auto"/>
              <w:rPr>
                <w:rFonts w:ascii="Calibri" w:eastAsia="Times New Roman" w:hAnsi="Calibri" w:cs="Calibri"/>
                <w:b/>
                <w:bCs/>
                <w:color w:val="000000"/>
                <w:lang w:eastAsia="fr-BE"/>
              </w:rPr>
            </w:pPr>
            <w:r w:rsidRPr="00197E47">
              <w:rPr>
                <w:rFonts w:ascii="Calibri" w:eastAsia="Times New Roman" w:hAnsi="Calibri" w:cs="Calibri"/>
                <w:b/>
                <w:bCs/>
                <w:color w:val="000000"/>
                <w:lang w:eastAsia="fr-BE"/>
              </w:rPr>
              <w:t>Quantity</w:t>
            </w:r>
          </w:p>
        </w:tc>
        <w:tc>
          <w:tcPr>
            <w:tcW w:w="960" w:type="dxa"/>
            <w:tcBorders>
              <w:top w:val="nil"/>
              <w:left w:val="nil"/>
              <w:bottom w:val="nil"/>
              <w:right w:val="nil"/>
            </w:tcBorders>
            <w:shd w:val="clear" w:color="auto" w:fill="auto"/>
            <w:noWrap/>
            <w:vAlign w:val="bottom"/>
            <w:hideMark/>
          </w:tcPr>
          <w:p w14:paraId="48BF6CE5" w14:textId="77777777" w:rsidR="00197E47" w:rsidRPr="00197E47" w:rsidRDefault="00197E47" w:rsidP="00197E47">
            <w:pPr>
              <w:spacing w:after="0" w:line="240" w:lineRule="auto"/>
              <w:rPr>
                <w:rFonts w:ascii="Calibri" w:eastAsia="Times New Roman" w:hAnsi="Calibri" w:cs="Calibri"/>
                <w:b/>
                <w:bCs/>
                <w:color w:val="000000"/>
                <w:lang w:eastAsia="fr-BE"/>
              </w:rPr>
            </w:pPr>
          </w:p>
        </w:tc>
        <w:tc>
          <w:tcPr>
            <w:tcW w:w="2140" w:type="dxa"/>
            <w:tcBorders>
              <w:top w:val="single" w:sz="8" w:space="0" w:color="auto"/>
              <w:left w:val="single" w:sz="8" w:space="0" w:color="auto"/>
              <w:bottom w:val="single" w:sz="8" w:space="0" w:color="auto"/>
              <w:right w:val="nil"/>
            </w:tcBorders>
            <w:shd w:val="clear" w:color="auto" w:fill="auto"/>
            <w:noWrap/>
            <w:vAlign w:val="bottom"/>
            <w:hideMark/>
          </w:tcPr>
          <w:p w14:paraId="72C17916" w14:textId="77777777" w:rsidR="00197E47" w:rsidRPr="00197E47" w:rsidRDefault="00197E47" w:rsidP="00197E47">
            <w:pPr>
              <w:spacing w:after="0" w:line="240" w:lineRule="auto"/>
              <w:rPr>
                <w:rFonts w:ascii="Calibri" w:eastAsia="Times New Roman" w:hAnsi="Calibri" w:cs="Calibri"/>
                <w:b/>
                <w:bCs/>
                <w:color w:val="000000"/>
                <w:lang w:eastAsia="fr-BE"/>
              </w:rPr>
            </w:pPr>
            <w:r w:rsidRPr="00197E47">
              <w:rPr>
                <w:rFonts w:ascii="Calibri" w:eastAsia="Times New Roman" w:hAnsi="Calibri" w:cs="Calibri"/>
                <w:b/>
                <w:bCs/>
                <w:color w:val="000000"/>
                <w:lang w:eastAsia="fr-BE"/>
              </w:rPr>
              <w:t>Country of Origin</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4F306A" w14:textId="77777777" w:rsidR="00197E47" w:rsidRPr="00197E47" w:rsidRDefault="00197E47" w:rsidP="00197E47">
            <w:pPr>
              <w:spacing w:after="0" w:line="240" w:lineRule="auto"/>
              <w:rPr>
                <w:rFonts w:ascii="Calibri" w:eastAsia="Times New Roman" w:hAnsi="Calibri" w:cs="Calibri"/>
                <w:b/>
                <w:bCs/>
                <w:color w:val="000000"/>
                <w:lang w:eastAsia="fr-BE"/>
              </w:rPr>
            </w:pPr>
            <w:r w:rsidRPr="00197E47">
              <w:rPr>
                <w:rFonts w:ascii="Calibri" w:eastAsia="Times New Roman" w:hAnsi="Calibri" w:cs="Calibri"/>
                <w:b/>
                <w:bCs/>
                <w:color w:val="000000"/>
                <w:lang w:eastAsia="fr-BE"/>
              </w:rPr>
              <w:t>Quantity</w:t>
            </w:r>
          </w:p>
        </w:tc>
      </w:tr>
      <w:tr w:rsidR="00197E47" w:rsidRPr="00197E47" w14:paraId="5E15160F"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12E4DF80"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Albania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15EE50C"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6085FC5C"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0F2F5122"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Belgium</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548348F"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69</w:t>
            </w:r>
          </w:p>
        </w:tc>
      </w:tr>
      <w:tr w:rsidR="00197E47" w:rsidRPr="00197E47" w14:paraId="59E8C22E"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69FC1B8F"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Austria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7BA1C30"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09D80BBF"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40475B9A"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Netherlands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C920C26"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68</w:t>
            </w:r>
          </w:p>
        </w:tc>
      </w:tr>
      <w:tr w:rsidR="00197E47" w:rsidRPr="00197E47" w14:paraId="1FF96A22"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516E3747"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Belgium</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C4B6D19"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69</w:t>
            </w:r>
          </w:p>
        </w:tc>
        <w:tc>
          <w:tcPr>
            <w:tcW w:w="960" w:type="dxa"/>
            <w:tcBorders>
              <w:top w:val="nil"/>
              <w:left w:val="nil"/>
              <w:bottom w:val="nil"/>
              <w:right w:val="nil"/>
            </w:tcBorders>
            <w:shd w:val="clear" w:color="auto" w:fill="auto"/>
            <w:noWrap/>
            <w:vAlign w:val="bottom"/>
            <w:hideMark/>
          </w:tcPr>
          <w:p w14:paraId="44A50471"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09A82AE9"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Germany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382E78B"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17</w:t>
            </w:r>
          </w:p>
        </w:tc>
      </w:tr>
      <w:tr w:rsidR="00197E47" w:rsidRPr="00197E47" w14:paraId="40F2D41E"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3E695B64"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Bosnia &amp; Herzegovina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AE3D847"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41ED0A8A"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3DBA1598"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Poland</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6DB2A4F"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15</w:t>
            </w:r>
          </w:p>
        </w:tc>
      </w:tr>
      <w:tr w:rsidR="00197E47" w:rsidRPr="00197E47" w14:paraId="0BF2ECCC"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3EC05E50"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Bulgaria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4EEED9D"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0D1E95FA"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696C47B3"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Italy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A077A7C"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11</w:t>
            </w:r>
          </w:p>
        </w:tc>
      </w:tr>
      <w:tr w:rsidR="00197E47" w:rsidRPr="00197E47" w14:paraId="1B2AB51B"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01730A6E"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Denmark</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563D9E8"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52AB58BF"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127876EC"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France</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27705EA"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w:t>
            </w:r>
          </w:p>
        </w:tc>
      </w:tr>
      <w:tr w:rsidR="00197E47" w:rsidRPr="00197E47" w14:paraId="4A112289"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50729124"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France</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6370518"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w:t>
            </w:r>
          </w:p>
        </w:tc>
        <w:tc>
          <w:tcPr>
            <w:tcW w:w="960" w:type="dxa"/>
            <w:tcBorders>
              <w:top w:val="nil"/>
              <w:left w:val="nil"/>
              <w:bottom w:val="nil"/>
              <w:right w:val="nil"/>
            </w:tcBorders>
            <w:shd w:val="clear" w:color="auto" w:fill="auto"/>
            <w:noWrap/>
            <w:vAlign w:val="bottom"/>
            <w:hideMark/>
          </w:tcPr>
          <w:p w14:paraId="17CB3C98"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6AE042A5"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Lithuania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869B352"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5</w:t>
            </w:r>
          </w:p>
        </w:tc>
      </w:tr>
      <w:tr w:rsidR="00197E47" w:rsidRPr="00197E47" w14:paraId="5F09D13B"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0E66C221"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Germany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7323618"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17</w:t>
            </w:r>
          </w:p>
        </w:tc>
        <w:tc>
          <w:tcPr>
            <w:tcW w:w="960" w:type="dxa"/>
            <w:tcBorders>
              <w:top w:val="nil"/>
              <w:left w:val="nil"/>
              <w:bottom w:val="nil"/>
              <w:right w:val="nil"/>
            </w:tcBorders>
            <w:shd w:val="clear" w:color="auto" w:fill="auto"/>
            <w:noWrap/>
            <w:vAlign w:val="bottom"/>
            <w:hideMark/>
          </w:tcPr>
          <w:p w14:paraId="7C5202D8"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71440749"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Denmark</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9D86E3C"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r>
      <w:tr w:rsidR="00197E47" w:rsidRPr="00197E47" w14:paraId="386F9494"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16ACB1AF"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Italy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A29339A"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11</w:t>
            </w:r>
          </w:p>
        </w:tc>
        <w:tc>
          <w:tcPr>
            <w:tcW w:w="960" w:type="dxa"/>
            <w:tcBorders>
              <w:top w:val="nil"/>
              <w:left w:val="nil"/>
              <w:bottom w:val="nil"/>
              <w:right w:val="nil"/>
            </w:tcBorders>
            <w:shd w:val="clear" w:color="auto" w:fill="auto"/>
            <w:noWrap/>
            <w:vAlign w:val="bottom"/>
            <w:hideMark/>
          </w:tcPr>
          <w:p w14:paraId="19ADA185"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351A277C"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Sweden</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769946A"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r>
      <w:tr w:rsidR="00197E47" w:rsidRPr="00197E47" w14:paraId="31216A83"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2BA3C516"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Lithuania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4CCB63B"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5</w:t>
            </w:r>
          </w:p>
        </w:tc>
        <w:tc>
          <w:tcPr>
            <w:tcW w:w="960" w:type="dxa"/>
            <w:tcBorders>
              <w:top w:val="nil"/>
              <w:left w:val="nil"/>
              <w:bottom w:val="nil"/>
              <w:right w:val="nil"/>
            </w:tcBorders>
            <w:shd w:val="clear" w:color="auto" w:fill="auto"/>
            <w:noWrap/>
            <w:vAlign w:val="bottom"/>
            <w:hideMark/>
          </w:tcPr>
          <w:p w14:paraId="7C77DC15"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1D430BFD"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Turkey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02FB437"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r>
      <w:tr w:rsidR="00197E47" w:rsidRPr="00197E47" w14:paraId="49135C13"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69FFF6D5"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Netherlands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BAD4204"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68</w:t>
            </w:r>
          </w:p>
        </w:tc>
        <w:tc>
          <w:tcPr>
            <w:tcW w:w="960" w:type="dxa"/>
            <w:tcBorders>
              <w:top w:val="nil"/>
              <w:left w:val="nil"/>
              <w:bottom w:val="nil"/>
              <w:right w:val="nil"/>
            </w:tcBorders>
            <w:shd w:val="clear" w:color="auto" w:fill="auto"/>
            <w:noWrap/>
            <w:vAlign w:val="bottom"/>
            <w:hideMark/>
          </w:tcPr>
          <w:p w14:paraId="60CA57DC"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4D998CE8"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Portugal</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6BF6F09"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3</w:t>
            </w:r>
          </w:p>
        </w:tc>
      </w:tr>
      <w:tr w:rsidR="00197E47" w:rsidRPr="00197E47" w14:paraId="6FC4CA54"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06C01A66"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Poland</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2C17833"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15</w:t>
            </w:r>
          </w:p>
        </w:tc>
        <w:tc>
          <w:tcPr>
            <w:tcW w:w="960" w:type="dxa"/>
            <w:tcBorders>
              <w:top w:val="nil"/>
              <w:left w:val="nil"/>
              <w:bottom w:val="nil"/>
              <w:right w:val="nil"/>
            </w:tcBorders>
            <w:shd w:val="clear" w:color="auto" w:fill="auto"/>
            <w:noWrap/>
            <w:vAlign w:val="bottom"/>
            <w:hideMark/>
          </w:tcPr>
          <w:p w14:paraId="232CF866"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0F42198E"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Austria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5DB0E69"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2</w:t>
            </w:r>
          </w:p>
        </w:tc>
      </w:tr>
      <w:tr w:rsidR="00197E47" w:rsidRPr="00197E47" w14:paraId="3BBB03BE"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6B92DFD7"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Portugal</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CA22786"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3</w:t>
            </w:r>
          </w:p>
        </w:tc>
        <w:tc>
          <w:tcPr>
            <w:tcW w:w="960" w:type="dxa"/>
            <w:tcBorders>
              <w:top w:val="nil"/>
              <w:left w:val="nil"/>
              <w:bottom w:val="nil"/>
              <w:right w:val="nil"/>
            </w:tcBorders>
            <w:shd w:val="clear" w:color="auto" w:fill="auto"/>
            <w:noWrap/>
            <w:vAlign w:val="bottom"/>
            <w:hideMark/>
          </w:tcPr>
          <w:p w14:paraId="73D33996"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09551DB7"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Singapore</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161B074"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2</w:t>
            </w:r>
          </w:p>
        </w:tc>
      </w:tr>
      <w:tr w:rsidR="00197E47" w:rsidRPr="00197E47" w14:paraId="43B630D0"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108B734F"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Romania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0D344A9"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53FDF29E"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50516E77"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Albania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F07A79E"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r>
      <w:tr w:rsidR="00197E47" w:rsidRPr="00197E47" w14:paraId="66BD9A7E"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3F7B824A"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Singapore</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0422BDA"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0598EAF1"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5679E17D"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Bosnia &amp; Herzegovina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CCC5AA1"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r>
      <w:tr w:rsidR="00197E47" w:rsidRPr="00197E47" w14:paraId="5AB9578F"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12DCC2F8"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Sweden</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A306CDA"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6ECCA8FB"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3C7B9175"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Bulgaria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B87FB1C"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r>
      <w:tr w:rsidR="00197E47" w:rsidRPr="00197E47" w14:paraId="424D4D64" w14:textId="77777777" w:rsidTr="00197E47">
        <w:trPr>
          <w:trHeight w:val="300"/>
        </w:trPr>
        <w:tc>
          <w:tcPr>
            <w:tcW w:w="2140" w:type="dxa"/>
            <w:tcBorders>
              <w:top w:val="nil"/>
              <w:left w:val="single" w:sz="8" w:space="0" w:color="auto"/>
              <w:bottom w:val="single" w:sz="4" w:space="0" w:color="auto"/>
              <w:right w:val="nil"/>
            </w:tcBorders>
            <w:shd w:val="clear" w:color="auto" w:fill="auto"/>
            <w:noWrap/>
            <w:vAlign w:val="bottom"/>
            <w:hideMark/>
          </w:tcPr>
          <w:p w14:paraId="1360E27E"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Turkey</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DDB193"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01F217EB"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bottom"/>
            <w:hideMark/>
          </w:tcPr>
          <w:p w14:paraId="3F8C38BC"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Romania</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1695E24"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r>
      <w:tr w:rsidR="00197E47" w:rsidRPr="00197E47" w14:paraId="3824DA27" w14:textId="77777777" w:rsidTr="00197E47">
        <w:trPr>
          <w:trHeight w:val="315"/>
        </w:trPr>
        <w:tc>
          <w:tcPr>
            <w:tcW w:w="2140" w:type="dxa"/>
            <w:tcBorders>
              <w:top w:val="nil"/>
              <w:left w:val="single" w:sz="8" w:space="0" w:color="auto"/>
              <w:bottom w:val="single" w:sz="8" w:space="0" w:color="auto"/>
              <w:right w:val="nil"/>
            </w:tcBorders>
            <w:shd w:val="clear" w:color="auto" w:fill="auto"/>
            <w:noWrap/>
            <w:vAlign w:val="bottom"/>
            <w:hideMark/>
          </w:tcPr>
          <w:p w14:paraId="2A9EC5A7"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United Kingdom</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811722F"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405638BC" w14:textId="77777777" w:rsidR="00197E47" w:rsidRPr="00197E47" w:rsidRDefault="00197E47" w:rsidP="00197E47">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8" w:space="0" w:color="auto"/>
              <w:right w:val="nil"/>
            </w:tcBorders>
            <w:shd w:val="clear" w:color="auto" w:fill="auto"/>
            <w:noWrap/>
            <w:vAlign w:val="bottom"/>
            <w:hideMark/>
          </w:tcPr>
          <w:p w14:paraId="46CB5EF6" w14:textId="77777777" w:rsidR="00197E47" w:rsidRPr="00197E47" w:rsidRDefault="00197E47" w:rsidP="00197E47">
            <w:pPr>
              <w:spacing w:after="0" w:line="240" w:lineRule="auto"/>
              <w:rPr>
                <w:rFonts w:ascii="Calibri" w:eastAsia="Times New Roman" w:hAnsi="Calibri" w:cs="Calibri"/>
                <w:color w:val="000000"/>
                <w:lang w:eastAsia="fr-BE"/>
              </w:rPr>
            </w:pPr>
            <w:r w:rsidRPr="00197E47">
              <w:rPr>
                <w:rFonts w:ascii="Calibri" w:eastAsia="Times New Roman" w:hAnsi="Calibri" w:cs="Calibri"/>
                <w:color w:val="000000"/>
                <w:lang w:eastAsia="fr-BE"/>
              </w:rPr>
              <w:t>United Kingdom</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306D4F8" w14:textId="77777777" w:rsidR="00197E47" w:rsidRPr="00197E47" w:rsidRDefault="00197E47" w:rsidP="00197E47">
            <w:pPr>
              <w:spacing w:after="0" w:line="240" w:lineRule="auto"/>
              <w:jc w:val="center"/>
              <w:rPr>
                <w:rFonts w:ascii="Calibri" w:eastAsia="Times New Roman" w:hAnsi="Calibri" w:cs="Calibri"/>
                <w:color w:val="000000"/>
                <w:lang w:eastAsia="fr-BE"/>
              </w:rPr>
            </w:pPr>
            <w:r w:rsidRPr="00197E47">
              <w:rPr>
                <w:rFonts w:ascii="Calibri" w:eastAsia="Times New Roman" w:hAnsi="Calibri" w:cs="Calibri"/>
                <w:color w:val="000000"/>
                <w:lang w:eastAsia="fr-BE"/>
              </w:rPr>
              <w:t>1</w:t>
            </w:r>
          </w:p>
        </w:tc>
      </w:tr>
    </w:tbl>
    <w:p w14:paraId="4F455F7C" w14:textId="336CF33C" w:rsidR="00486AD0" w:rsidRDefault="00486AD0" w:rsidP="00486AD0">
      <w:pPr>
        <w:ind w:left="720"/>
        <w:rPr>
          <w:rFonts w:cstheme="minorHAnsi"/>
        </w:rPr>
      </w:pPr>
    </w:p>
    <w:p w14:paraId="75BC20CE" w14:textId="713C9AFB" w:rsidR="00486AD0" w:rsidRDefault="00486AD0" w:rsidP="00486AD0">
      <w:pPr>
        <w:ind w:left="720"/>
        <w:rPr>
          <w:rFonts w:cstheme="minorHAnsi"/>
        </w:rPr>
      </w:pPr>
    </w:p>
    <w:p w14:paraId="3D127011" w14:textId="0560AB4C" w:rsidR="00FE21D5" w:rsidRDefault="00FE21D5">
      <w:pPr>
        <w:rPr>
          <w:rFonts w:cstheme="minorHAnsi"/>
        </w:rPr>
      </w:pPr>
      <w:r>
        <w:rPr>
          <w:rFonts w:cstheme="minorHAnsi"/>
        </w:rPr>
        <w:br w:type="page"/>
      </w:r>
    </w:p>
    <w:p w14:paraId="689844C5" w14:textId="77777777" w:rsidR="00737F70" w:rsidRDefault="00737F70" w:rsidP="00486AD0">
      <w:pPr>
        <w:ind w:left="720"/>
        <w:rPr>
          <w:rFonts w:cstheme="minorHAnsi"/>
        </w:rPr>
      </w:pPr>
    </w:p>
    <w:p w14:paraId="741A207F" w14:textId="391C51B9" w:rsidR="00483CD1" w:rsidRDefault="00483CD1" w:rsidP="00483CD1">
      <w:pPr>
        <w:pStyle w:val="Lijstalinea"/>
        <w:numPr>
          <w:ilvl w:val="1"/>
          <w:numId w:val="17"/>
        </w:numPr>
        <w:rPr>
          <w:rFonts w:asciiTheme="minorHAnsi" w:hAnsiTheme="minorHAnsi" w:cstheme="minorHAnsi"/>
          <w:sz w:val="22"/>
          <w:szCs w:val="22"/>
        </w:rPr>
      </w:pPr>
      <w:r>
        <w:rPr>
          <w:rFonts w:asciiTheme="minorHAnsi" w:hAnsiTheme="minorHAnsi" w:cstheme="minorHAnsi"/>
          <w:sz w:val="22"/>
          <w:szCs w:val="22"/>
        </w:rPr>
        <w:t>TOP 3: Biggest Stand</w:t>
      </w:r>
      <w:r w:rsidR="00737F70">
        <w:rPr>
          <w:rFonts w:asciiTheme="minorHAnsi" w:hAnsiTheme="minorHAnsi" w:cstheme="minorHAnsi"/>
          <w:sz w:val="22"/>
          <w:szCs w:val="22"/>
        </w:rPr>
        <w:t xml:space="preserve"> surfaces</w:t>
      </w:r>
    </w:p>
    <w:p w14:paraId="2603C0FA" w14:textId="5BAA1C7F" w:rsidR="00483CD1" w:rsidRDefault="00483CD1" w:rsidP="00483CD1">
      <w:pPr>
        <w:pStyle w:val="Lijstalinea"/>
        <w:numPr>
          <w:ilvl w:val="0"/>
          <w:numId w:val="18"/>
        </w:numPr>
        <w:rPr>
          <w:rFonts w:asciiTheme="minorHAnsi" w:hAnsiTheme="minorHAnsi" w:cstheme="minorHAnsi"/>
          <w:sz w:val="22"/>
          <w:szCs w:val="22"/>
        </w:rPr>
      </w:pPr>
      <w:r>
        <w:rPr>
          <w:rFonts w:asciiTheme="minorHAnsi" w:hAnsiTheme="minorHAnsi" w:cstheme="minorHAnsi"/>
          <w:sz w:val="22"/>
          <w:szCs w:val="22"/>
        </w:rPr>
        <w:t>MECAM – 1347 Square meters</w:t>
      </w:r>
    </w:p>
    <w:p w14:paraId="28141EE9" w14:textId="5BEB2E3D" w:rsidR="00483CD1" w:rsidRDefault="00483CD1" w:rsidP="00483CD1">
      <w:pPr>
        <w:pStyle w:val="Lijstalinea"/>
        <w:numPr>
          <w:ilvl w:val="0"/>
          <w:numId w:val="18"/>
        </w:numPr>
        <w:rPr>
          <w:rFonts w:asciiTheme="minorHAnsi" w:hAnsiTheme="minorHAnsi" w:cstheme="minorHAnsi"/>
          <w:sz w:val="22"/>
          <w:szCs w:val="22"/>
        </w:rPr>
      </w:pPr>
      <w:r>
        <w:rPr>
          <w:rFonts w:asciiTheme="minorHAnsi" w:hAnsiTheme="minorHAnsi" w:cstheme="minorHAnsi"/>
          <w:sz w:val="22"/>
          <w:szCs w:val="22"/>
        </w:rPr>
        <w:t>HTL – 786 Square meters</w:t>
      </w:r>
    </w:p>
    <w:p w14:paraId="6859D0D8" w14:textId="78C5B94A" w:rsidR="00483CD1" w:rsidRPr="00483CD1" w:rsidRDefault="00483CD1" w:rsidP="00483CD1">
      <w:pPr>
        <w:pStyle w:val="Lijstalinea"/>
        <w:numPr>
          <w:ilvl w:val="0"/>
          <w:numId w:val="18"/>
        </w:numPr>
        <w:rPr>
          <w:rFonts w:asciiTheme="minorHAnsi" w:hAnsiTheme="minorHAnsi" w:cstheme="minorHAnsi"/>
          <w:sz w:val="22"/>
          <w:szCs w:val="22"/>
        </w:rPr>
      </w:pPr>
      <w:r>
        <w:rPr>
          <w:rFonts w:asciiTheme="minorHAnsi" w:hAnsiTheme="minorHAnsi" w:cstheme="minorHAnsi"/>
          <w:sz w:val="22"/>
          <w:szCs w:val="22"/>
        </w:rPr>
        <w:t xml:space="preserve">HIMA, ROM &amp; DE EIKEN ZETEL </w:t>
      </w:r>
      <w:r w:rsidR="00D271BD">
        <w:rPr>
          <w:rFonts w:asciiTheme="minorHAnsi" w:hAnsiTheme="minorHAnsi" w:cstheme="minorHAnsi"/>
          <w:sz w:val="22"/>
          <w:szCs w:val="22"/>
        </w:rPr>
        <w:t>– 725 Square meters</w:t>
      </w:r>
    </w:p>
    <w:p w14:paraId="582A322D" w14:textId="77777777" w:rsidR="00737F70" w:rsidRPr="00286810" w:rsidRDefault="00737F70" w:rsidP="00737F70">
      <w:pPr>
        <w:pStyle w:val="Lijstalinea"/>
        <w:ind w:left="1440"/>
        <w:rPr>
          <w:rFonts w:asciiTheme="minorHAnsi" w:hAnsiTheme="minorHAnsi" w:cstheme="minorHAnsi"/>
          <w:sz w:val="22"/>
          <w:szCs w:val="22"/>
        </w:rPr>
      </w:pPr>
    </w:p>
    <w:p w14:paraId="6620FC58" w14:textId="7B2E4532" w:rsidR="00D271BD" w:rsidRPr="00D271BD" w:rsidRDefault="00D271BD" w:rsidP="0041467A">
      <w:pPr>
        <w:pStyle w:val="Lijstalinea"/>
        <w:numPr>
          <w:ilvl w:val="1"/>
          <w:numId w:val="17"/>
        </w:numPr>
        <w:rPr>
          <w:rFonts w:asciiTheme="minorHAnsi" w:hAnsiTheme="minorHAnsi" w:cstheme="minorHAnsi"/>
          <w:sz w:val="22"/>
          <w:szCs w:val="22"/>
          <w:lang w:val="en-US"/>
        </w:rPr>
      </w:pPr>
      <w:r w:rsidRPr="00D271BD">
        <w:rPr>
          <w:rFonts w:asciiTheme="minorHAnsi" w:hAnsiTheme="minorHAnsi" w:cstheme="minorHAnsi"/>
          <w:sz w:val="22"/>
          <w:szCs w:val="22"/>
          <w:lang w:val="en-US"/>
        </w:rPr>
        <w:t>TOP 3: Best stand building (</w:t>
      </w:r>
      <w:r w:rsidR="00737F70">
        <w:rPr>
          <w:rFonts w:asciiTheme="minorHAnsi" w:hAnsiTheme="minorHAnsi" w:cstheme="minorHAnsi"/>
          <w:sz w:val="22"/>
          <w:szCs w:val="22"/>
          <w:lang w:val="en-US"/>
        </w:rPr>
        <w:t xml:space="preserve">Awarded </w:t>
      </w:r>
      <w:r>
        <w:rPr>
          <w:rFonts w:asciiTheme="minorHAnsi" w:hAnsiTheme="minorHAnsi" w:cstheme="minorHAnsi"/>
          <w:sz w:val="22"/>
          <w:szCs w:val="22"/>
          <w:lang w:val="en-US"/>
        </w:rPr>
        <w:t>by the Furniture Fair’s official stand builder</w:t>
      </w:r>
      <w:r w:rsidR="00737F70">
        <w:rPr>
          <w:rFonts w:asciiTheme="minorHAnsi" w:hAnsiTheme="minorHAnsi" w:cstheme="minorHAnsi"/>
          <w:sz w:val="22"/>
          <w:szCs w:val="22"/>
          <w:lang w:val="en-US"/>
        </w:rPr>
        <w:t xml:space="preserve"> – very subjective</w:t>
      </w:r>
      <w:r>
        <w:rPr>
          <w:rFonts w:asciiTheme="minorHAnsi" w:hAnsiTheme="minorHAnsi" w:cstheme="minorHAnsi"/>
          <w:sz w:val="22"/>
          <w:szCs w:val="22"/>
          <w:lang w:val="en-US"/>
        </w:rPr>
        <w:t xml:space="preserve">) </w:t>
      </w:r>
    </w:p>
    <w:p w14:paraId="1C627557" w14:textId="105858AA" w:rsidR="00D271BD" w:rsidRDefault="00D271BD" w:rsidP="00D271BD">
      <w:pPr>
        <w:pStyle w:val="Lijstalinea"/>
        <w:numPr>
          <w:ilvl w:val="0"/>
          <w:numId w:val="19"/>
        </w:numPr>
        <w:rPr>
          <w:rFonts w:asciiTheme="minorHAnsi" w:hAnsiTheme="minorHAnsi" w:cstheme="minorHAnsi"/>
          <w:sz w:val="22"/>
          <w:szCs w:val="22"/>
        </w:rPr>
      </w:pPr>
      <w:r>
        <w:rPr>
          <w:rFonts w:asciiTheme="minorHAnsi" w:hAnsiTheme="minorHAnsi" w:cstheme="minorHAnsi"/>
          <w:sz w:val="22"/>
          <w:szCs w:val="22"/>
        </w:rPr>
        <w:t>MOBITEC (Most beautiful)</w:t>
      </w:r>
    </w:p>
    <w:p w14:paraId="0BB04B96" w14:textId="2FF387C7" w:rsidR="00D271BD" w:rsidRDefault="002911CB" w:rsidP="00D271BD">
      <w:pPr>
        <w:pStyle w:val="Lijstalinea"/>
        <w:numPr>
          <w:ilvl w:val="0"/>
          <w:numId w:val="19"/>
        </w:numPr>
        <w:rPr>
          <w:rFonts w:asciiTheme="minorHAnsi" w:hAnsiTheme="minorHAnsi" w:cstheme="minorHAnsi"/>
          <w:sz w:val="22"/>
          <w:szCs w:val="22"/>
        </w:rPr>
      </w:pPr>
      <w:r>
        <w:rPr>
          <w:rFonts w:asciiTheme="minorHAnsi" w:hAnsiTheme="minorHAnsi" w:cstheme="minorHAnsi"/>
          <w:sz w:val="22"/>
          <w:szCs w:val="22"/>
        </w:rPr>
        <w:t>MAX DIVANI</w:t>
      </w:r>
    </w:p>
    <w:p w14:paraId="16E6D4D5" w14:textId="09FF9BF6" w:rsidR="00737F70" w:rsidRDefault="00D271BD" w:rsidP="00737F70">
      <w:pPr>
        <w:pStyle w:val="Lijstalinea"/>
        <w:numPr>
          <w:ilvl w:val="0"/>
          <w:numId w:val="19"/>
        </w:numPr>
        <w:rPr>
          <w:rFonts w:asciiTheme="minorHAnsi" w:hAnsiTheme="minorHAnsi" w:cstheme="minorHAnsi"/>
          <w:sz w:val="22"/>
          <w:szCs w:val="22"/>
        </w:rPr>
      </w:pPr>
      <w:r>
        <w:rPr>
          <w:rFonts w:asciiTheme="minorHAnsi" w:hAnsiTheme="minorHAnsi" w:cstheme="minorHAnsi"/>
          <w:sz w:val="22"/>
          <w:szCs w:val="22"/>
        </w:rPr>
        <w:t>WIEMANN, WIMEX, LODDENKEMPER, FEMIRA (Most impressive)</w:t>
      </w:r>
      <w:r w:rsidR="00CE2796" w:rsidRPr="00486AD0">
        <w:rPr>
          <w:rFonts w:asciiTheme="minorHAnsi" w:hAnsiTheme="minorHAnsi" w:cstheme="minorHAnsi"/>
          <w:sz w:val="22"/>
          <w:szCs w:val="22"/>
        </w:rPr>
        <w:t xml:space="preserve"> </w:t>
      </w:r>
    </w:p>
    <w:p w14:paraId="2E0ED07C" w14:textId="77777777" w:rsidR="00737F70" w:rsidRPr="00737F70" w:rsidRDefault="00737F70" w:rsidP="00737F70">
      <w:pPr>
        <w:pStyle w:val="Lijstalinea"/>
        <w:ind w:left="1800"/>
        <w:rPr>
          <w:rFonts w:asciiTheme="minorHAnsi" w:hAnsiTheme="minorHAnsi" w:cstheme="minorHAnsi"/>
          <w:sz w:val="22"/>
          <w:szCs w:val="22"/>
        </w:rPr>
      </w:pPr>
    </w:p>
    <w:p w14:paraId="62838C55" w14:textId="6D8E9342" w:rsidR="0041467A" w:rsidRPr="00486AD0" w:rsidRDefault="00D271BD" w:rsidP="0041467A">
      <w:pPr>
        <w:pStyle w:val="Lijstalinea"/>
        <w:numPr>
          <w:ilvl w:val="0"/>
          <w:numId w:val="17"/>
        </w:numPr>
        <w:rPr>
          <w:rFonts w:asciiTheme="minorHAnsi" w:hAnsiTheme="minorHAnsi" w:cstheme="minorHAnsi"/>
          <w:sz w:val="22"/>
          <w:szCs w:val="22"/>
        </w:rPr>
      </w:pPr>
      <w:r>
        <w:rPr>
          <w:rFonts w:asciiTheme="minorHAnsi" w:hAnsiTheme="minorHAnsi" w:cstheme="minorHAnsi"/>
          <w:sz w:val="22"/>
          <w:szCs w:val="22"/>
        </w:rPr>
        <w:t>Names</w:t>
      </w:r>
      <w:r w:rsidR="0041467A" w:rsidRPr="00486AD0">
        <w:rPr>
          <w:rFonts w:asciiTheme="minorHAnsi" w:hAnsiTheme="minorHAnsi" w:cstheme="minorHAnsi"/>
          <w:sz w:val="22"/>
          <w:szCs w:val="22"/>
        </w:rPr>
        <w:t>:</w:t>
      </w:r>
    </w:p>
    <w:p w14:paraId="02BA193E" w14:textId="243BDF37" w:rsidR="00D271BD" w:rsidRPr="00033A41" w:rsidRDefault="00D271BD" w:rsidP="003A3362">
      <w:pPr>
        <w:pStyle w:val="Lijstalinea"/>
        <w:numPr>
          <w:ilvl w:val="1"/>
          <w:numId w:val="17"/>
        </w:numPr>
        <w:rPr>
          <w:rFonts w:asciiTheme="minorHAnsi" w:hAnsiTheme="minorHAnsi" w:cstheme="minorHAnsi"/>
          <w:sz w:val="22"/>
          <w:szCs w:val="22"/>
        </w:rPr>
      </w:pPr>
      <w:r w:rsidRPr="00033A41">
        <w:rPr>
          <w:rFonts w:asciiTheme="minorHAnsi" w:hAnsiTheme="minorHAnsi" w:cstheme="minorHAnsi"/>
          <w:sz w:val="22"/>
          <w:szCs w:val="22"/>
        </w:rPr>
        <w:t>Most notable new exhibitors</w:t>
      </w:r>
      <w:r w:rsidR="003A3362" w:rsidRPr="00033A41">
        <w:rPr>
          <w:rFonts w:asciiTheme="minorHAnsi" w:hAnsiTheme="minorHAnsi" w:cstheme="minorHAnsi"/>
          <w:sz w:val="22"/>
          <w:szCs w:val="22"/>
        </w:rPr>
        <w:t xml:space="preserve"> and comebacks</w:t>
      </w:r>
      <w:r w:rsidRPr="00033A41">
        <w:rPr>
          <w:rFonts w:asciiTheme="minorHAnsi" w:hAnsiTheme="minorHAnsi" w:cstheme="minorHAnsi"/>
          <w:sz w:val="22"/>
          <w:szCs w:val="22"/>
        </w:rPr>
        <w:t xml:space="preserve">: Voglauer, Stooly, </w:t>
      </w:r>
      <w:r w:rsidR="005F0D0F" w:rsidRPr="00033A41">
        <w:rPr>
          <w:rFonts w:asciiTheme="minorHAnsi" w:hAnsiTheme="minorHAnsi" w:cstheme="minorHAnsi"/>
          <w:sz w:val="22"/>
          <w:szCs w:val="22"/>
        </w:rPr>
        <w:t xml:space="preserve">Stommen Group (Brafab, Furninova, conform), </w:t>
      </w:r>
      <w:r w:rsidR="003A3362" w:rsidRPr="00033A41">
        <w:rPr>
          <w:rFonts w:asciiTheme="minorHAnsi" w:hAnsiTheme="minorHAnsi" w:cstheme="minorHAnsi"/>
          <w:sz w:val="22"/>
          <w:szCs w:val="22"/>
        </w:rPr>
        <w:t xml:space="preserve">Key West Bedding, </w:t>
      </w:r>
      <w:r w:rsidR="005F0D0F" w:rsidRPr="00033A41">
        <w:rPr>
          <w:rFonts w:asciiTheme="minorHAnsi" w:hAnsiTheme="minorHAnsi" w:cstheme="minorHAnsi"/>
          <w:sz w:val="22"/>
          <w:szCs w:val="22"/>
        </w:rPr>
        <w:t xml:space="preserve">Caso Furniture, </w:t>
      </w:r>
      <w:r w:rsidR="002911CB" w:rsidRPr="00033A41">
        <w:rPr>
          <w:rFonts w:asciiTheme="minorHAnsi" w:hAnsiTheme="minorHAnsi" w:cstheme="minorHAnsi"/>
          <w:sz w:val="22"/>
          <w:szCs w:val="22"/>
        </w:rPr>
        <w:t>M-Line/DBC International, Bijnen,</w:t>
      </w:r>
      <w:r w:rsidR="003A3362" w:rsidRPr="00033A41">
        <w:rPr>
          <w:rFonts w:asciiTheme="minorHAnsi" w:hAnsiTheme="minorHAnsi" w:cstheme="minorHAnsi"/>
          <w:sz w:val="22"/>
          <w:szCs w:val="22"/>
        </w:rPr>
        <w:t xml:space="preserve"> </w:t>
      </w:r>
      <w:r w:rsidRPr="00033A41">
        <w:rPr>
          <w:rFonts w:asciiTheme="minorHAnsi" w:hAnsiTheme="minorHAnsi" w:cstheme="minorHAnsi"/>
          <w:sz w:val="22"/>
          <w:szCs w:val="22"/>
        </w:rPr>
        <w:t>Ada</w:t>
      </w:r>
      <w:r w:rsidR="00033A41" w:rsidRPr="00033A41">
        <w:rPr>
          <w:rFonts w:asciiTheme="minorHAnsi" w:hAnsiTheme="minorHAnsi" w:cstheme="minorHAnsi"/>
          <w:sz w:val="22"/>
          <w:szCs w:val="22"/>
        </w:rPr>
        <w:t xml:space="preserve"> Möbelwer</w:t>
      </w:r>
      <w:r w:rsidR="00033A41">
        <w:rPr>
          <w:rFonts w:asciiTheme="minorHAnsi" w:hAnsiTheme="minorHAnsi" w:cstheme="minorHAnsi"/>
          <w:sz w:val="22"/>
          <w:szCs w:val="22"/>
        </w:rPr>
        <w:t>ke</w:t>
      </w:r>
      <w:r w:rsidRPr="00033A41">
        <w:rPr>
          <w:rFonts w:asciiTheme="minorHAnsi" w:hAnsiTheme="minorHAnsi" w:cstheme="minorHAnsi"/>
          <w:sz w:val="22"/>
          <w:szCs w:val="22"/>
        </w:rPr>
        <w:t>, CBA Meubles/Demeyere, Cacio</w:t>
      </w:r>
      <w:r w:rsidR="002911CB" w:rsidRPr="00033A41">
        <w:rPr>
          <w:rFonts w:asciiTheme="minorHAnsi" w:hAnsiTheme="minorHAnsi" w:cstheme="minorHAnsi"/>
          <w:sz w:val="22"/>
          <w:szCs w:val="22"/>
        </w:rPr>
        <w:t>, Ultima</w:t>
      </w:r>
      <w:r w:rsidR="00737F70" w:rsidRPr="00033A41">
        <w:rPr>
          <w:rFonts w:asciiTheme="minorHAnsi" w:hAnsiTheme="minorHAnsi" w:cstheme="minorHAnsi"/>
          <w:sz w:val="22"/>
          <w:szCs w:val="22"/>
        </w:rPr>
        <w:t>.</w:t>
      </w:r>
    </w:p>
    <w:p w14:paraId="131EED57" w14:textId="0960EDA8" w:rsidR="0041467A" w:rsidRDefault="00D271BD" w:rsidP="0041467A">
      <w:pPr>
        <w:pStyle w:val="Lijstalinea"/>
        <w:numPr>
          <w:ilvl w:val="1"/>
          <w:numId w:val="17"/>
        </w:numPr>
        <w:rPr>
          <w:rFonts w:asciiTheme="minorHAnsi" w:hAnsiTheme="minorHAnsi" w:cstheme="minorHAnsi"/>
          <w:sz w:val="22"/>
          <w:szCs w:val="22"/>
          <w:lang w:val="en-US"/>
        </w:rPr>
      </w:pPr>
      <w:r w:rsidRPr="003A3362">
        <w:rPr>
          <w:rFonts w:asciiTheme="minorHAnsi" w:hAnsiTheme="minorHAnsi" w:cstheme="minorHAnsi"/>
          <w:sz w:val="22"/>
          <w:szCs w:val="22"/>
          <w:lang w:val="en-US"/>
        </w:rPr>
        <w:t xml:space="preserve">Most notable absentees: </w:t>
      </w:r>
      <w:r w:rsidR="002911CB" w:rsidRPr="003A3362">
        <w:rPr>
          <w:rFonts w:asciiTheme="minorHAnsi" w:hAnsiTheme="minorHAnsi" w:cstheme="minorHAnsi"/>
          <w:sz w:val="22"/>
          <w:szCs w:val="22"/>
          <w:lang w:val="en-US"/>
        </w:rPr>
        <w:t>LS Bedding</w:t>
      </w:r>
      <w:r w:rsidRPr="003A3362">
        <w:rPr>
          <w:rFonts w:asciiTheme="minorHAnsi" w:hAnsiTheme="minorHAnsi" w:cstheme="minorHAnsi"/>
          <w:sz w:val="22"/>
          <w:szCs w:val="22"/>
          <w:lang w:val="en-US"/>
        </w:rPr>
        <w:t>,</w:t>
      </w:r>
      <w:r w:rsidR="002911CB" w:rsidRPr="003A3362">
        <w:rPr>
          <w:rFonts w:asciiTheme="minorHAnsi" w:hAnsiTheme="minorHAnsi" w:cstheme="minorHAnsi"/>
          <w:sz w:val="22"/>
          <w:szCs w:val="22"/>
          <w:lang w:val="en-US"/>
        </w:rPr>
        <w:t xml:space="preserve"> Polipol, Calia Italia,</w:t>
      </w:r>
      <w:r w:rsidRPr="003A3362">
        <w:rPr>
          <w:rFonts w:asciiTheme="minorHAnsi" w:hAnsiTheme="minorHAnsi" w:cstheme="minorHAnsi"/>
          <w:sz w:val="22"/>
          <w:szCs w:val="22"/>
          <w:lang w:val="en-US"/>
        </w:rPr>
        <w:t xml:space="preserve"> Veldema</w:t>
      </w:r>
      <w:r w:rsidR="002911CB" w:rsidRPr="003A3362">
        <w:rPr>
          <w:rFonts w:asciiTheme="minorHAnsi" w:hAnsiTheme="minorHAnsi" w:cstheme="minorHAnsi"/>
          <w:sz w:val="22"/>
          <w:szCs w:val="22"/>
          <w:lang w:val="en-US"/>
        </w:rPr>
        <w:t>n Bedding</w:t>
      </w:r>
      <w:r w:rsidR="00737F70">
        <w:rPr>
          <w:rFonts w:asciiTheme="minorHAnsi" w:hAnsiTheme="minorHAnsi" w:cstheme="minorHAnsi"/>
          <w:sz w:val="22"/>
          <w:szCs w:val="22"/>
          <w:lang w:val="en-US"/>
        </w:rPr>
        <w:t>.</w:t>
      </w:r>
    </w:p>
    <w:p w14:paraId="6689F9E1" w14:textId="77777777" w:rsidR="00737F70" w:rsidRPr="003A3362" w:rsidRDefault="00737F70" w:rsidP="00737F70">
      <w:pPr>
        <w:pStyle w:val="Lijstalinea"/>
        <w:ind w:left="1440"/>
        <w:rPr>
          <w:rFonts w:asciiTheme="minorHAnsi" w:hAnsiTheme="minorHAnsi" w:cstheme="minorHAnsi"/>
          <w:sz w:val="22"/>
          <w:szCs w:val="22"/>
          <w:lang w:val="en-US"/>
        </w:rPr>
      </w:pPr>
    </w:p>
    <w:p w14:paraId="5377E37D" w14:textId="77777777" w:rsidR="001A129A" w:rsidRPr="003A3362" w:rsidRDefault="001A129A" w:rsidP="001A129A">
      <w:pPr>
        <w:pStyle w:val="Lijstalinea"/>
        <w:rPr>
          <w:rFonts w:asciiTheme="minorHAnsi" w:hAnsiTheme="minorHAnsi" w:cstheme="minorHAnsi"/>
          <w:sz w:val="22"/>
          <w:szCs w:val="22"/>
          <w:lang w:val="en-US"/>
        </w:rPr>
      </w:pPr>
    </w:p>
    <w:p w14:paraId="05C226C5" w14:textId="77777777" w:rsidR="00737F70" w:rsidRDefault="001A129A" w:rsidP="001F3593">
      <w:pPr>
        <w:pStyle w:val="Lijstalinea"/>
        <w:numPr>
          <w:ilvl w:val="0"/>
          <w:numId w:val="17"/>
        </w:numPr>
        <w:rPr>
          <w:rFonts w:asciiTheme="minorHAnsi" w:hAnsiTheme="minorHAnsi" w:cstheme="minorHAnsi"/>
          <w:sz w:val="22"/>
          <w:szCs w:val="22"/>
          <w:lang w:val="en-US"/>
        </w:rPr>
      </w:pPr>
      <w:r w:rsidRPr="003A3362">
        <w:rPr>
          <w:rFonts w:asciiTheme="minorHAnsi" w:hAnsiTheme="minorHAnsi" w:cstheme="minorHAnsi"/>
          <w:sz w:val="22"/>
          <w:szCs w:val="22"/>
          <w:lang w:val="en-US"/>
        </w:rPr>
        <w:t>N</w:t>
      </w:r>
      <w:r w:rsidR="00737F70">
        <w:rPr>
          <w:rFonts w:asciiTheme="minorHAnsi" w:hAnsiTheme="minorHAnsi" w:cstheme="minorHAnsi"/>
          <w:sz w:val="22"/>
          <w:szCs w:val="22"/>
          <w:lang w:val="en-US"/>
        </w:rPr>
        <w:t>ew or back on the fair:</w:t>
      </w:r>
    </w:p>
    <w:p w14:paraId="700165D6" w14:textId="0455F8F6" w:rsidR="001F3593" w:rsidRPr="00486AD0" w:rsidRDefault="00B8152E" w:rsidP="00737F70">
      <w:pPr>
        <w:pStyle w:val="Lijstalinea"/>
        <w:rPr>
          <w:rFonts w:asciiTheme="minorHAnsi" w:hAnsiTheme="minorHAnsi" w:cstheme="minorHAnsi"/>
          <w:sz w:val="22"/>
          <w:szCs w:val="22"/>
          <w:lang w:val="en-US"/>
        </w:rPr>
      </w:pPr>
      <w:r w:rsidRPr="003A3362">
        <w:rPr>
          <w:rFonts w:asciiTheme="minorHAnsi" w:hAnsiTheme="minorHAnsi" w:cstheme="minorHAnsi"/>
          <w:sz w:val="22"/>
          <w:szCs w:val="22"/>
          <w:lang w:val="en-US"/>
        </w:rPr>
        <w:t>One of the goals we have set is to create a platform</w:t>
      </w:r>
      <w:r w:rsidRPr="00486AD0">
        <w:rPr>
          <w:rFonts w:asciiTheme="minorHAnsi" w:hAnsiTheme="minorHAnsi" w:cstheme="minorHAnsi"/>
          <w:sz w:val="22"/>
          <w:szCs w:val="22"/>
          <w:lang w:val="en-US"/>
        </w:rPr>
        <w:t xml:space="preserve"> for a broader public within the furniture industry, and if possible, stretched over a much longer period.</w:t>
      </w:r>
      <w:r w:rsidR="00D913A7" w:rsidRPr="00486AD0">
        <w:rPr>
          <w:rFonts w:asciiTheme="minorHAnsi" w:hAnsiTheme="minorHAnsi" w:cstheme="minorHAnsi"/>
          <w:sz w:val="22"/>
          <w:szCs w:val="22"/>
          <w:lang w:val="en-US"/>
        </w:rPr>
        <w:t xml:space="preserve"> Most of the novelties that we will mention </w:t>
      </w:r>
      <w:r w:rsidR="00612964" w:rsidRPr="00486AD0">
        <w:rPr>
          <w:rFonts w:asciiTheme="minorHAnsi" w:hAnsiTheme="minorHAnsi" w:cstheme="minorHAnsi"/>
          <w:sz w:val="22"/>
          <w:szCs w:val="22"/>
          <w:lang w:val="en-US"/>
        </w:rPr>
        <w:t>in this chapter</w:t>
      </w:r>
      <w:r w:rsidR="00D913A7" w:rsidRPr="00486AD0">
        <w:rPr>
          <w:rFonts w:asciiTheme="minorHAnsi" w:hAnsiTheme="minorHAnsi" w:cstheme="minorHAnsi"/>
          <w:sz w:val="22"/>
          <w:szCs w:val="22"/>
          <w:lang w:val="en-US"/>
        </w:rPr>
        <w:t xml:space="preserve"> </w:t>
      </w:r>
      <w:r w:rsidR="00B13D9C" w:rsidRPr="00486AD0">
        <w:rPr>
          <w:rFonts w:asciiTheme="minorHAnsi" w:hAnsiTheme="minorHAnsi" w:cstheme="minorHAnsi"/>
          <w:sz w:val="22"/>
          <w:szCs w:val="22"/>
          <w:lang w:val="en-US"/>
        </w:rPr>
        <w:t>reflect</w:t>
      </w:r>
      <w:r w:rsidR="00D913A7" w:rsidRPr="00486AD0">
        <w:rPr>
          <w:rFonts w:asciiTheme="minorHAnsi" w:hAnsiTheme="minorHAnsi" w:cstheme="minorHAnsi"/>
          <w:sz w:val="22"/>
          <w:szCs w:val="22"/>
          <w:lang w:val="en-US"/>
        </w:rPr>
        <w:t xml:space="preserve"> this idea</w:t>
      </w:r>
      <w:r w:rsidR="00EA43A2" w:rsidRPr="00486AD0">
        <w:rPr>
          <w:rFonts w:asciiTheme="minorHAnsi" w:hAnsiTheme="minorHAnsi" w:cstheme="minorHAnsi"/>
          <w:sz w:val="22"/>
          <w:szCs w:val="22"/>
          <w:lang w:val="en-US"/>
        </w:rPr>
        <w:t>.</w:t>
      </w:r>
    </w:p>
    <w:p w14:paraId="0204269B" w14:textId="06A4C532" w:rsidR="00EA43A2" w:rsidRDefault="00EA43A2" w:rsidP="00EA43A2">
      <w:pPr>
        <w:pStyle w:val="Lijstalinea"/>
        <w:rPr>
          <w:rFonts w:asciiTheme="minorHAnsi" w:hAnsiTheme="minorHAnsi" w:cstheme="minorHAnsi"/>
          <w:sz w:val="22"/>
          <w:szCs w:val="22"/>
          <w:lang w:val="en-US"/>
        </w:rPr>
      </w:pPr>
      <w:r w:rsidRPr="00486AD0">
        <w:rPr>
          <w:rFonts w:asciiTheme="minorHAnsi" w:hAnsiTheme="minorHAnsi" w:cstheme="minorHAnsi"/>
          <w:sz w:val="22"/>
          <w:szCs w:val="22"/>
          <w:lang w:val="en-US"/>
        </w:rPr>
        <w:t>We have started with the creation of a new segment o</w:t>
      </w:r>
      <w:r w:rsidR="00D5244A">
        <w:rPr>
          <w:rFonts w:asciiTheme="minorHAnsi" w:hAnsiTheme="minorHAnsi" w:cstheme="minorHAnsi"/>
          <w:sz w:val="22"/>
          <w:szCs w:val="22"/>
          <w:lang w:val="en-US"/>
        </w:rPr>
        <w:t>n</w:t>
      </w:r>
      <w:r w:rsidRPr="00486AD0">
        <w:rPr>
          <w:rFonts w:asciiTheme="minorHAnsi" w:hAnsiTheme="minorHAnsi" w:cstheme="minorHAnsi"/>
          <w:sz w:val="22"/>
          <w:szCs w:val="22"/>
          <w:lang w:val="en-US"/>
        </w:rPr>
        <w:t xml:space="preserve"> todays fair: ‘Bubble up your Store’ is a presentation of services and goods which allow every furniture store to bring added value to ther retail space (on- and offline) as well as their business in general. Today’s customer does not only expect to see furniture when entering a furniture store, as they have the internet to do this. Today’s customers want to feel a warm welcome, experience a happy feeling, get inspired by individual furniture pieces in a well</w:t>
      </w:r>
      <w:r>
        <w:rPr>
          <w:rFonts w:asciiTheme="minorHAnsi" w:hAnsiTheme="minorHAnsi" w:cstheme="minorHAnsi"/>
          <w:sz w:val="22"/>
          <w:szCs w:val="22"/>
          <w:lang w:val="en-US"/>
        </w:rPr>
        <w:t xml:space="preserve"> thought set-up, and discover complete solutions. Every sense needs to be </w:t>
      </w:r>
      <w:r w:rsidR="00B13D9C">
        <w:rPr>
          <w:rFonts w:asciiTheme="minorHAnsi" w:hAnsiTheme="minorHAnsi" w:cstheme="minorHAnsi"/>
          <w:sz w:val="22"/>
          <w:szCs w:val="22"/>
          <w:lang w:val="en-US"/>
        </w:rPr>
        <w:t>stimulated</w:t>
      </w:r>
      <w:r>
        <w:rPr>
          <w:rFonts w:asciiTheme="minorHAnsi" w:hAnsiTheme="minorHAnsi" w:cstheme="minorHAnsi"/>
          <w:sz w:val="22"/>
          <w:szCs w:val="22"/>
          <w:lang w:val="en-US"/>
        </w:rPr>
        <w:t xml:space="preserve"> in the right way. We are talking scent marketing, audio, visuals and direct support.</w:t>
      </w:r>
    </w:p>
    <w:p w14:paraId="2DE17773" w14:textId="3694D826" w:rsidR="00D90AA2" w:rsidRDefault="00D90AA2" w:rsidP="00EA43A2">
      <w:pPr>
        <w:pStyle w:val="Lijstalinea"/>
        <w:rPr>
          <w:rFonts w:asciiTheme="minorHAnsi" w:hAnsiTheme="minorHAnsi" w:cstheme="minorHAnsi"/>
          <w:sz w:val="22"/>
          <w:szCs w:val="22"/>
          <w:lang w:val="en-US"/>
        </w:rPr>
      </w:pPr>
      <w:r>
        <w:rPr>
          <w:rFonts w:asciiTheme="minorHAnsi" w:hAnsiTheme="minorHAnsi" w:cstheme="minorHAnsi"/>
          <w:sz w:val="22"/>
          <w:szCs w:val="22"/>
          <w:lang w:val="en-US"/>
        </w:rPr>
        <w:t>As we see a lot of similarities between our visitors retail spaces and our fairground, please let us spontaniously reply to a question that keeps everyone awake: What about the future of physical fairs in an online world? Well the main idea is easy: Online and physical are simply inseparable. It is enough to see your finger tapping on your cellphone screen to understand what we mean</w:t>
      </w:r>
      <w:r w:rsidR="00B13D9C">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00B13D9C">
        <w:rPr>
          <w:rFonts w:asciiTheme="minorHAnsi" w:hAnsiTheme="minorHAnsi" w:cstheme="minorHAnsi"/>
          <w:sz w:val="22"/>
          <w:szCs w:val="22"/>
          <w:lang w:val="en-US"/>
        </w:rPr>
        <w:t>t</w:t>
      </w:r>
      <w:r>
        <w:rPr>
          <w:rFonts w:asciiTheme="minorHAnsi" w:hAnsiTheme="minorHAnsi" w:cstheme="minorHAnsi"/>
          <w:sz w:val="22"/>
          <w:szCs w:val="22"/>
          <w:lang w:val="en-US"/>
        </w:rPr>
        <w:t xml:space="preserve">he online space is </w:t>
      </w:r>
      <w:r w:rsidR="00B13D9C">
        <w:rPr>
          <w:rFonts w:asciiTheme="minorHAnsi" w:hAnsiTheme="minorHAnsi" w:cstheme="minorHAnsi"/>
          <w:sz w:val="22"/>
          <w:szCs w:val="22"/>
          <w:lang w:val="en-US"/>
        </w:rPr>
        <w:t xml:space="preserve">mostly </w:t>
      </w:r>
      <w:r>
        <w:rPr>
          <w:rFonts w:asciiTheme="minorHAnsi" w:hAnsiTheme="minorHAnsi" w:cstheme="minorHAnsi"/>
          <w:sz w:val="22"/>
          <w:szCs w:val="22"/>
          <w:lang w:val="en-US"/>
        </w:rPr>
        <w:t xml:space="preserve">their in support of the physical aspects. Only rarely will it fully replace its physical </w:t>
      </w:r>
      <w:r w:rsidR="00420DC9">
        <w:rPr>
          <w:rFonts w:asciiTheme="minorHAnsi" w:hAnsiTheme="minorHAnsi" w:cstheme="minorHAnsi"/>
          <w:sz w:val="22"/>
          <w:szCs w:val="22"/>
          <w:lang w:val="en-US"/>
        </w:rPr>
        <w:t>substitute</w:t>
      </w:r>
      <w:r>
        <w:rPr>
          <w:rFonts w:asciiTheme="minorHAnsi" w:hAnsiTheme="minorHAnsi" w:cstheme="minorHAnsi"/>
          <w:sz w:val="22"/>
          <w:szCs w:val="22"/>
          <w:lang w:val="en-US"/>
        </w:rPr>
        <w:t xml:space="preserve">. To put it even more simply: No one will ever put </w:t>
      </w:r>
      <w:r w:rsidR="00612964">
        <w:rPr>
          <w:rFonts w:asciiTheme="minorHAnsi" w:hAnsiTheme="minorHAnsi" w:cstheme="minorHAnsi"/>
          <w:sz w:val="22"/>
          <w:szCs w:val="22"/>
          <w:lang w:val="en-US"/>
        </w:rPr>
        <w:t>his or her</w:t>
      </w:r>
      <w:r>
        <w:rPr>
          <w:rFonts w:asciiTheme="minorHAnsi" w:hAnsiTheme="minorHAnsi" w:cstheme="minorHAnsi"/>
          <w:sz w:val="22"/>
          <w:szCs w:val="22"/>
          <w:lang w:val="en-US"/>
        </w:rPr>
        <w:t xml:space="preserve"> behind on an online sofa to try out its hardness</w:t>
      </w:r>
      <w:r w:rsidR="00612964">
        <w:rPr>
          <w:rFonts w:asciiTheme="minorHAnsi" w:hAnsiTheme="minorHAnsi" w:cstheme="minorHAnsi"/>
          <w:sz w:val="22"/>
          <w:szCs w:val="22"/>
          <w:lang w:val="en-US"/>
        </w:rPr>
        <w:t>.</w:t>
      </w:r>
    </w:p>
    <w:p w14:paraId="13997690" w14:textId="66630C08" w:rsidR="00612964" w:rsidRDefault="00612964" w:rsidP="00EA43A2">
      <w:pPr>
        <w:pStyle w:val="Lijstalinea"/>
        <w:rPr>
          <w:rFonts w:asciiTheme="minorHAnsi" w:hAnsiTheme="minorHAnsi" w:cstheme="minorHAnsi"/>
          <w:sz w:val="22"/>
          <w:szCs w:val="22"/>
          <w:lang w:val="en-US"/>
        </w:rPr>
      </w:pPr>
    </w:p>
    <w:p w14:paraId="00D174AA" w14:textId="05B57AF6" w:rsidR="00512CA5" w:rsidRDefault="00512CA5" w:rsidP="00EA43A2">
      <w:pPr>
        <w:pStyle w:val="Lijstalinea"/>
        <w:rPr>
          <w:rFonts w:asciiTheme="minorHAnsi" w:hAnsiTheme="minorHAnsi" w:cstheme="minorHAnsi"/>
          <w:sz w:val="22"/>
          <w:szCs w:val="22"/>
          <w:lang w:val="en-US"/>
        </w:rPr>
      </w:pPr>
      <w:r>
        <w:rPr>
          <w:rFonts w:asciiTheme="minorHAnsi" w:hAnsiTheme="minorHAnsi" w:cstheme="minorHAnsi"/>
          <w:sz w:val="22"/>
          <w:szCs w:val="22"/>
          <w:lang w:val="en-US"/>
        </w:rPr>
        <w:t>Right next to ‘Bubble up Your Store’, we increased our efforts in order to really put our designers and design academies in the picture. You will get inspired by the creations of young designers, and meet designers who are ready to market their models.</w:t>
      </w:r>
    </w:p>
    <w:p w14:paraId="52CB9013" w14:textId="77777777" w:rsidR="00512CA5" w:rsidRDefault="00512CA5" w:rsidP="00EA43A2">
      <w:pPr>
        <w:pStyle w:val="Lijstalinea"/>
        <w:rPr>
          <w:rFonts w:asciiTheme="minorHAnsi" w:hAnsiTheme="minorHAnsi" w:cstheme="minorHAnsi"/>
          <w:sz w:val="22"/>
          <w:szCs w:val="22"/>
          <w:lang w:val="en-US"/>
        </w:rPr>
      </w:pPr>
    </w:p>
    <w:p w14:paraId="4A0BE24B" w14:textId="37ACD13E" w:rsidR="00612964" w:rsidRDefault="00612964" w:rsidP="00EA43A2">
      <w:pPr>
        <w:pStyle w:val="Lijstalinea"/>
        <w:rPr>
          <w:rFonts w:asciiTheme="minorHAnsi" w:hAnsiTheme="minorHAnsi" w:cstheme="minorHAnsi"/>
          <w:sz w:val="22"/>
          <w:szCs w:val="22"/>
          <w:lang w:val="en-US"/>
        </w:rPr>
      </w:pPr>
      <w:r>
        <w:rPr>
          <w:rFonts w:asciiTheme="minorHAnsi" w:hAnsiTheme="minorHAnsi" w:cstheme="minorHAnsi"/>
          <w:sz w:val="22"/>
          <w:szCs w:val="22"/>
          <w:lang w:val="en-US"/>
        </w:rPr>
        <w:t>Furthermore, we foresaw well in advance a surface in hall 6, where all manufactureres of bedding</w:t>
      </w:r>
      <w:r w:rsidR="00857B78">
        <w:rPr>
          <w:rFonts w:asciiTheme="minorHAnsi" w:hAnsiTheme="minorHAnsi" w:cstheme="minorHAnsi"/>
          <w:sz w:val="22"/>
          <w:szCs w:val="22"/>
          <w:lang w:val="en-US"/>
        </w:rPr>
        <w:t xml:space="preserve">, not exposing in hall 6, have the chance to exhibit their products to the </w:t>
      </w:r>
      <w:r w:rsidR="00512CA5">
        <w:rPr>
          <w:rFonts w:asciiTheme="minorHAnsi" w:hAnsiTheme="minorHAnsi" w:cstheme="minorHAnsi"/>
          <w:sz w:val="22"/>
          <w:szCs w:val="22"/>
          <w:lang w:val="en-US"/>
        </w:rPr>
        <w:t>beds &amp; bedding-visitors who might otherwise miss them during their visit in Brussels.</w:t>
      </w:r>
      <w:r w:rsidR="00783618">
        <w:rPr>
          <w:rFonts w:asciiTheme="minorHAnsi" w:hAnsiTheme="minorHAnsi" w:cstheme="minorHAnsi"/>
          <w:sz w:val="22"/>
          <w:szCs w:val="22"/>
          <w:lang w:val="en-US"/>
        </w:rPr>
        <w:t xml:space="preserve"> Find them on stand 6-307 ‘The Woods’.</w:t>
      </w:r>
    </w:p>
    <w:p w14:paraId="3FB66153" w14:textId="34932251" w:rsidR="00FE21D5" w:rsidRDefault="00FE21D5">
      <w:pPr>
        <w:rPr>
          <w:rFonts w:eastAsia="Times New Roman" w:cstheme="minorHAnsi"/>
          <w:noProof/>
          <w:lang w:val="en-US" w:eastAsia="nl-NL"/>
        </w:rPr>
      </w:pPr>
      <w:r>
        <w:rPr>
          <w:rFonts w:cstheme="minorHAnsi"/>
          <w:lang w:val="en-US"/>
        </w:rPr>
        <w:br w:type="page"/>
      </w:r>
    </w:p>
    <w:p w14:paraId="42BD35DD" w14:textId="551894EC" w:rsidR="00D022C7" w:rsidRPr="00512CA5" w:rsidRDefault="00512CA5" w:rsidP="00512CA5">
      <w:pPr>
        <w:ind w:left="705"/>
        <w:rPr>
          <w:lang w:val="en-US"/>
        </w:rPr>
      </w:pPr>
      <w:r w:rsidRPr="00512CA5">
        <w:rPr>
          <w:lang w:val="en-US"/>
        </w:rPr>
        <w:lastRenderedPageBreak/>
        <w:t>As stated before, we b</w:t>
      </w:r>
      <w:r>
        <w:rPr>
          <w:lang w:val="en-US"/>
        </w:rPr>
        <w:t>elieve that off- and online are there to support each other. That is why we launched a new blog, with newsletter called ‘BRUSSELS FURNITURE afFAIR’</w:t>
      </w:r>
      <w:r w:rsidR="00BE68F4">
        <w:rPr>
          <w:lang w:val="en-US"/>
        </w:rPr>
        <w:t xml:space="preserve">. </w:t>
      </w:r>
      <w:r w:rsidR="00B00907" w:rsidRPr="00B00907">
        <w:rPr>
          <w:lang w:val="en-US"/>
        </w:rPr>
        <w:t>This will replace the well-known BE magazine. For us, this is also an opportunity to offer extra visibility to our exhibitors outside the 4 fair days. The name speaks for itself: What is happening at the Furniture Fair, and who will be there?</w:t>
      </w:r>
      <w:r w:rsidR="00BE68F4">
        <w:rPr>
          <w:lang w:val="en-US"/>
        </w:rPr>
        <w:t xml:space="preserve"> If you did not receive the newsletter, please let us know!</w:t>
      </w:r>
    </w:p>
    <w:p w14:paraId="563E58A9" w14:textId="30DC31AC" w:rsidR="00612964" w:rsidRPr="00512CA5" w:rsidRDefault="00612964">
      <w:pPr>
        <w:rPr>
          <w:lang w:val="en-US"/>
        </w:rPr>
      </w:pPr>
    </w:p>
    <w:p w14:paraId="0A6A6B01" w14:textId="01FB60D8" w:rsidR="00612964" w:rsidRPr="00612964" w:rsidRDefault="00612964">
      <w:pPr>
        <w:rPr>
          <w:lang w:val="en-US"/>
        </w:rPr>
      </w:pPr>
      <w:r w:rsidRPr="00612964">
        <w:rPr>
          <w:lang w:val="en-US"/>
        </w:rPr>
        <w:t>To conclude, we would v</w:t>
      </w:r>
      <w:r>
        <w:rPr>
          <w:lang w:val="en-US"/>
        </w:rPr>
        <w:t>ery much like to thank you again for your attention</w:t>
      </w:r>
      <w:r w:rsidR="00BE68F4">
        <w:rPr>
          <w:lang w:val="en-US"/>
        </w:rPr>
        <w:t>. We try to be available as much as possible, so don’t hesitate to come and find us. We will now</w:t>
      </w:r>
      <w:r w:rsidR="00B00907">
        <w:rPr>
          <w:lang w:val="en-US"/>
        </w:rPr>
        <w:t xml:space="preserve"> gladly</w:t>
      </w:r>
      <w:r w:rsidR="00BE68F4">
        <w:rPr>
          <w:lang w:val="en-US"/>
        </w:rPr>
        <w:t xml:space="preserve"> take some time to answer your question</w:t>
      </w:r>
      <w:r w:rsidR="00B00907">
        <w:rPr>
          <w:lang w:val="en-US"/>
        </w:rPr>
        <w:t>.</w:t>
      </w:r>
    </w:p>
    <w:p w14:paraId="6F63F0DF" w14:textId="77777777" w:rsidR="00D022C7" w:rsidRPr="00612964" w:rsidRDefault="00D022C7">
      <w:pPr>
        <w:rPr>
          <w:lang w:val="en-US"/>
        </w:rPr>
      </w:pPr>
    </w:p>
    <w:p w14:paraId="01636562" w14:textId="77777777" w:rsidR="00735310" w:rsidRPr="00612964" w:rsidRDefault="00735310">
      <w:pPr>
        <w:rPr>
          <w:lang w:val="en-US"/>
        </w:rPr>
      </w:pPr>
    </w:p>
    <w:sectPr w:rsidR="00735310" w:rsidRPr="00612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8218753A">
      <w:start w:val="1000"/>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54629"/>
    <w:multiLevelType w:val="hybridMultilevel"/>
    <w:tmpl w:val="3C3A0746"/>
    <w:lvl w:ilvl="0" w:tplc="715E9658">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25F32229"/>
    <w:multiLevelType w:val="hybridMultilevel"/>
    <w:tmpl w:val="A282CF84"/>
    <w:lvl w:ilvl="0" w:tplc="B7165F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DD92BF8"/>
    <w:multiLevelType w:val="hybridMultilevel"/>
    <w:tmpl w:val="B058B518"/>
    <w:lvl w:ilvl="0" w:tplc="2C08AE56">
      <w:start w:val="3191"/>
      <w:numFmt w:val="decimal"/>
      <w:lvlText w:val="%1"/>
      <w:lvlJc w:val="left"/>
      <w:pPr>
        <w:tabs>
          <w:tab w:val="num" w:pos="5655"/>
        </w:tabs>
        <w:ind w:left="5655" w:hanging="555"/>
      </w:pPr>
      <w:rPr>
        <w:rFonts w:hint="default"/>
      </w:rPr>
    </w:lvl>
    <w:lvl w:ilvl="1" w:tplc="04130019" w:tentative="1">
      <w:start w:val="1"/>
      <w:numFmt w:val="lowerLetter"/>
      <w:lvlText w:val="%2."/>
      <w:lvlJc w:val="left"/>
      <w:pPr>
        <w:tabs>
          <w:tab w:val="num" w:pos="6180"/>
        </w:tabs>
        <w:ind w:left="6180" w:hanging="360"/>
      </w:pPr>
    </w:lvl>
    <w:lvl w:ilvl="2" w:tplc="0413001B" w:tentative="1">
      <w:start w:val="1"/>
      <w:numFmt w:val="lowerRoman"/>
      <w:lvlText w:val="%3."/>
      <w:lvlJc w:val="right"/>
      <w:pPr>
        <w:tabs>
          <w:tab w:val="num" w:pos="6900"/>
        </w:tabs>
        <w:ind w:left="6900" w:hanging="180"/>
      </w:pPr>
    </w:lvl>
    <w:lvl w:ilvl="3" w:tplc="0413000F" w:tentative="1">
      <w:start w:val="1"/>
      <w:numFmt w:val="decimal"/>
      <w:lvlText w:val="%4."/>
      <w:lvlJc w:val="left"/>
      <w:pPr>
        <w:tabs>
          <w:tab w:val="num" w:pos="7620"/>
        </w:tabs>
        <w:ind w:left="7620" w:hanging="360"/>
      </w:pPr>
    </w:lvl>
    <w:lvl w:ilvl="4" w:tplc="04130019" w:tentative="1">
      <w:start w:val="1"/>
      <w:numFmt w:val="lowerLetter"/>
      <w:lvlText w:val="%5."/>
      <w:lvlJc w:val="left"/>
      <w:pPr>
        <w:tabs>
          <w:tab w:val="num" w:pos="8340"/>
        </w:tabs>
        <w:ind w:left="8340" w:hanging="360"/>
      </w:pPr>
    </w:lvl>
    <w:lvl w:ilvl="5" w:tplc="0413001B" w:tentative="1">
      <w:start w:val="1"/>
      <w:numFmt w:val="lowerRoman"/>
      <w:lvlText w:val="%6."/>
      <w:lvlJc w:val="right"/>
      <w:pPr>
        <w:tabs>
          <w:tab w:val="num" w:pos="9060"/>
        </w:tabs>
        <w:ind w:left="9060" w:hanging="180"/>
      </w:pPr>
    </w:lvl>
    <w:lvl w:ilvl="6" w:tplc="0413000F" w:tentative="1">
      <w:start w:val="1"/>
      <w:numFmt w:val="decimal"/>
      <w:lvlText w:val="%7."/>
      <w:lvlJc w:val="left"/>
      <w:pPr>
        <w:tabs>
          <w:tab w:val="num" w:pos="9780"/>
        </w:tabs>
        <w:ind w:left="9780" w:hanging="360"/>
      </w:pPr>
    </w:lvl>
    <w:lvl w:ilvl="7" w:tplc="04130019" w:tentative="1">
      <w:start w:val="1"/>
      <w:numFmt w:val="lowerLetter"/>
      <w:lvlText w:val="%8."/>
      <w:lvlJc w:val="left"/>
      <w:pPr>
        <w:tabs>
          <w:tab w:val="num" w:pos="10500"/>
        </w:tabs>
        <w:ind w:left="10500" w:hanging="360"/>
      </w:pPr>
    </w:lvl>
    <w:lvl w:ilvl="8" w:tplc="0413001B" w:tentative="1">
      <w:start w:val="1"/>
      <w:numFmt w:val="lowerRoman"/>
      <w:lvlText w:val="%9."/>
      <w:lvlJc w:val="right"/>
      <w:pPr>
        <w:tabs>
          <w:tab w:val="num" w:pos="11220"/>
        </w:tabs>
        <w:ind w:left="11220" w:hanging="180"/>
      </w:pPr>
    </w:lvl>
  </w:abstractNum>
  <w:abstractNum w:abstractNumId="6" w15:restartNumberingAfterBreak="0">
    <w:nsid w:val="34F965C0"/>
    <w:multiLevelType w:val="hybridMultilevel"/>
    <w:tmpl w:val="84FACF5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A214C49"/>
    <w:multiLevelType w:val="hybridMultilevel"/>
    <w:tmpl w:val="D68C707E"/>
    <w:lvl w:ilvl="0" w:tplc="CE38C85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AA91568"/>
    <w:multiLevelType w:val="hybridMultilevel"/>
    <w:tmpl w:val="B128E5BE"/>
    <w:lvl w:ilvl="0" w:tplc="71101568">
      <w:start w:val="10"/>
      <w:numFmt w:val="bullet"/>
      <w:lvlText w:val="-"/>
      <w:lvlJc w:val="left"/>
      <w:pPr>
        <w:ind w:left="720" w:hanging="360"/>
      </w:pPr>
      <w:rPr>
        <w:rFonts w:ascii="Myriad Web Pro" w:eastAsia="Times New Roman" w:hAnsi="Myriad Web Pr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F96A79"/>
    <w:multiLevelType w:val="hybridMultilevel"/>
    <w:tmpl w:val="725494DE"/>
    <w:lvl w:ilvl="0" w:tplc="F9A4AFF2">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0" w15:restartNumberingAfterBreak="0">
    <w:nsid w:val="4271267B"/>
    <w:multiLevelType w:val="hybridMultilevel"/>
    <w:tmpl w:val="97E6CA8A"/>
    <w:lvl w:ilvl="0" w:tplc="A4A86E8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D23F08"/>
    <w:multiLevelType w:val="hybridMultilevel"/>
    <w:tmpl w:val="9FD6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B72E8E"/>
    <w:multiLevelType w:val="hybridMultilevel"/>
    <w:tmpl w:val="90D23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A72407"/>
    <w:multiLevelType w:val="hybridMultilevel"/>
    <w:tmpl w:val="FE6AAD18"/>
    <w:lvl w:ilvl="0" w:tplc="43B83A24">
      <w:numFmt w:val="bullet"/>
      <w:lvlText w:val="-"/>
      <w:lvlJc w:val="left"/>
      <w:pPr>
        <w:ind w:left="720" w:hanging="360"/>
      </w:pPr>
      <w:rPr>
        <w:rFonts w:ascii="Myriad Pro" w:eastAsia="Times New Roman" w:hAnsi="Myriad Pro" w:cs="Lucida Sans Unicode"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E504FA"/>
    <w:multiLevelType w:val="hybridMultilevel"/>
    <w:tmpl w:val="1B6072EA"/>
    <w:lvl w:ilvl="0" w:tplc="64881258">
      <w:start w:val="1"/>
      <w:numFmt w:val="bullet"/>
      <w:lvlText w:val=""/>
      <w:lvlJc w:val="left"/>
      <w:pPr>
        <w:tabs>
          <w:tab w:val="num" w:pos="567"/>
        </w:tabs>
        <w:ind w:left="567" w:hanging="567"/>
      </w:pPr>
      <w:rPr>
        <w:rFonts w:ascii="Wingdings 3" w:hAnsi="Wingdings 3"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F1E61"/>
    <w:multiLevelType w:val="hybridMultilevel"/>
    <w:tmpl w:val="3C724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701997"/>
    <w:multiLevelType w:val="hybridMultilevel"/>
    <w:tmpl w:val="16F40BCE"/>
    <w:lvl w:ilvl="0" w:tplc="04F8E558">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947352">
    <w:abstractNumId w:val="0"/>
    <w:lvlOverride w:ilvl="0">
      <w:lvl w:ilvl="0">
        <w:numFmt w:val="bullet"/>
        <w:lvlText w:val=""/>
        <w:legacy w:legacy="1" w:legacySpace="0" w:legacyIndent="0"/>
        <w:lvlJc w:val="left"/>
        <w:rPr>
          <w:rFonts w:ascii="Symbol" w:hAnsi="Symbol" w:hint="default"/>
        </w:rPr>
      </w:lvl>
    </w:lvlOverride>
  </w:num>
  <w:num w:numId="2" w16cid:durableId="1925455455">
    <w:abstractNumId w:val="10"/>
  </w:num>
  <w:num w:numId="3" w16cid:durableId="1595242574">
    <w:abstractNumId w:val="5"/>
  </w:num>
  <w:num w:numId="4" w16cid:durableId="150217861">
    <w:abstractNumId w:val="13"/>
  </w:num>
  <w:num w:numId="5" w16cid:durableId="1667248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3625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26500">
    <w:abstractNumId w:val="11"/>
  </w:num>
  <w:num w:numId="8" w16cid:durableId="860821112">
    <w:abstractNumId w:val="1"/>
  </w:num>
  <w:num w:numId="9" w16cid:durableId="696547820">
    <w:abstractNumId w:val="12"/>
  </w:num>
  <w:num w:numId="10" w16cid:durableId="337277031">
    <w:abstractNumId w:val="4"/>
  </w:num>
  <w:num w:numId="11" w16cid:durableId="2090544167">
    <w:abstractNumId w:val="17"/>
  </w:num>
  <w:num w:numId="12" w16cid:durableId="70346823">
    <w:abstractNumId w:val="14"/>
  </w:num>
  <w:num w:numId="13" w16cid:durableId="874076544">
    <w:abstractNumId w:val="8"/>
  </w:num>
  <w:num w:numId="14" w16cid:durableId="1140466092">
    <w:abstractNumId w:val="16"/>
  </w:num>
  <w:num w:numId="15" w16cid:durableId="1776629940">
    <w:abstractNumId w:val="15"/>
  </w:num>
  <w:num w:numId="16" w16cid:durableId="568344483">
    <w:abstractNumId w:val="2"/>
  </w:num>
  <w:num w:numId="17" w16cid:durableId="1336835506">
    <w:abstractNumId w:val="7"/>
  </w:num>
  <w:num w:numId="18" w16cid:durableId="1559902926">
    <w:abstractNumId w:val="3"/>
  </w:num>
  <w:num w:numId="19" w16cid:durableId="1203637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10"/>
    <w:rsid w:val="00033A41"/>
    <w:rsid w:val="000A3399"/>
    <w:rsid w:val="000C4A48"/>
    <w:rsid w:val="000E262A"/>
    <w:rsid w:val="00172119"/>
    <w:rsid w:val="00197E47"/>
    <w:rsid w:val="001A129A"/>
    <w:rsid w:val="001E2C5F"/>
    <w:rsid w:val="001F3593"/>
    <w:rsid w:val="00203B4B"/>
    <w:rsid w:val="0023234D"/>
    <w:rsid w:val="002834B7"/>
    <w:rsid w:val="00286810"/>
    <w:rsid w:val="002911CB"/>
    <w:rsid w:val="002928FF"/>
    <w:rsid w:val="002F39F2"/>
    <w:rsid w:val="003A3362"/>
    <w:rsid w:val="0041467A"/>
    <w:rsid w:val="00420DC9"/>
    <w:rsid w:val="00483CD1"/>
    <w:rsid w:val="00486AD0"/>
    <w:rsid w:val="00512444"/>
    <w:rsid w:val="00512CA5"/>
    <w:rsid w:val="00536AE5"/>
    <w:rsid w:val="005D2951"/>
    <w:rsid w:val="005F0D0F"/>
    <w:rsid w:val="005F49CD"/>
    <w:rsid w:val="00612964"/>
    <w:rsid w:val="00647B06"/>
    <w:rsid w:val="00685F6B"/>
    <w:rsid w:val="006C0525"/>
    <w:rsid w:val="00735310"/>
    <w:rsid w:val="00737F70"/>
    <w:rsid w:val="00783618"/>
    <w:rsid w:val="00785909"/>
    <w:rsid w:val="00857B78"/>
    <w:rsid w:val="008E4B58"/>
    <w:rsid w:val="00B00907"/>
    <w:rsid w:val="00B13D9C"/>
    <w:rsid w:val="00B8152E"/>
    <w:rsid w:val="00B8579A"/>
    <w:rsid w:val="00BE68F4"/>
    <w:rsid w:val="00BF1717"/>
    <w:rsid w:val="00C54DFF"/>
    <w:rsid w:val="00C728F0"/>
    <w:rsid w:val="00CE2796"/>
    <w:rsid w:val="00D022C7"/>
    <w:rsid w:val="00D16ED2"/>
    <w:rsid w:val="00D271BD"/>
    <w:rsid w:val="00D431E5"/>
    <w:rsid w:val="00D5244A"/>
    <w:rsid w:val="00D80BA5"/>
    <w:rsid w:val="00D90AA2"/>
    <w:rsid w:val="00D913A7"/>
    <w:rsid w:val="00E06BA1"/>
    <w:rsid w:val="00E271ED"/>
    <w:rsid w:val="00E8327E"/>
    <w:rsid w:val="00EA43A2"/>
    <w:rsid w:val="00F6785F"/>
    <w:rsid w:val="00F97BFF"/>
    <w:rsid w:val="00FE21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A6CD"/>
  <w15:chartTrackingRefBased/>
  <w15:docId w15:val="{F2A09A3F-5030-478F-80E5-9231EFD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16ED2"/>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noProof/>
      <w:sz w:val="18"/>
      <w:szCs w:val="20"/>
      <w:lang w:val="nl-BE" w:eastAsia="nl-NL"/>
    </w:rPr>
  </w:style>
  <w:style w:type="paragraph" w:styleId="Kop2">
    <w:name w:val="heading 2"/>
    <w:basedOn w:val="Standaard"/>
    <w:next w:val="Standaard"/>
    <w:link w:val="Kop2Char"/>
    <w:uiPriority w:val="99"/>
    <w:qFormat/>
    <w:rsid w:val="00D16ED2"/>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noProof/>
      <w:sz w:val="24"/>
      <w:szCs w:val="20"/>
      <w:lang w:val="nl-BE" w:eastAsia="nl-NL"/>
    </w:rPr>
  </w:style>
  <w:style w:type="paragraph" w:styleId="Kop3">
    <w:name w:val="heading 3"/>
    <w:basedOn w:val="Standaard"/>
    <w:next w:val="Standaard"/>
    <w:link w:val="Kop3Char"/>
    <w:uiPriority w:val="99"/>
    <w:qFormat/>
    <w:rsid w:val="00D16ED2"/>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noProof/>
      <w:szCs w:val="20"/>
      <w:lang w:val="nl-BE" w:eastAsia="nl-NL"/>
    </w:rPr>
  </w:style>
  <w:style w:type="paragraph" w:styleId="Kop4">
    <w:name w:val="heading 4"/>
    <w:basedOn w:val="Standaard"/>
    <w:next w:val="Standaard"/>
    <w:link w:val="Kop4Char"/>
    <w:uiPriority w:val="99"/>
    <w:qFormat/>
    <w:rsid w:val="00D16ED2"/>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noProof/>
      <w:szCs w:val="20"/>
      <w:u w:val="single"/>
      <w:lang w:val="nl-BE" w:eastAsia="nl-NL"/>
    </w:rPr>
  </w:style>
  <w:style w:type="paragraph" w:styleId="Kop5">
    <w:name w:val="heading 5"/>
    <w:basedOn w:val="Standaard"/>
    <w:next w:val="Standaard"/>
    <w:link w:val="Kop5Char"/>
    <w:uiPriority w:val="99"/>
    <w:qFormat/>
    <w:rsid w:val="00D16ED2"/>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noProof/>
      <w:color w:val="0E0059"/>
      <w:szCs w:val="20"/>
      <w:lang w:val="nl-BE" w:eastAsia="nl-NL"/>
    </w:rPr>
  </w:style>
  <w:style w:type="paragraph" w:styleId="Kop6">
    <w:name w:val="heading 6"/>
    <w:basedOn w:val="Standaard"/>
    <w:next w:val="Standaard"/>
    <w:link w:val="Kop6Char"/>
    <w:uiPriority w:val="99"/>
    <w:qFormat/>
    <w:rsid w:val="00D16ED2"/>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noProof/>
      <w:sz w:val="40"/>
      <w:szCs w:val="20"/>
      <w:lang w:val="nl-BE" w:eastAsia="nl-NL"/>
    </w:rPr>
  </w:style>
  <w:style w:type="paragraph" w:styleId="Kop7">
    <w:name w:val="heading 7"/>
    <w:basedOn w:val="Standaard"/>
    <w:next w:val="Standaard"/>
    <w:link w:val="Kop7Char"/>
    <w:uiPriority w:val="99"/>
    <w:unhideWhenUsed/>
    <w:qFormat/>
    <w:rsid w:val="00D16ED2"/>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noProof/>
      <w:color w:val="1F3763" w:themeColor="accent1" w:themeShade="7F"/>
      <w:sz w:val="20"/>
      <w:szCs w:val="20"/>
      <w:lang w:val="nl-BE" w:eastAsia="nl-NL"/>
    </w:rPr>
  </w:style>
  <w:style w:type="paragraph" w:styleId="Kop8">
    <w:name w:val="heading 8"/>
    <w:basedOn w:val="Standaard"/>
    <w:next w:val="Standaard"/>
    <w:link w:val="Kop8Char"/>
    <w:uiPriority w:val="99"/>
    <w:qFormat/>
    <w:rsid w:val="00D16ED2"/>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val="nl-BE" w:eastAsia="nl-NL"/>
    </w:rPr>
  </w:style>
  <w:style w:type="paragraph" w:styleId="Kop9">
    <w:name w:val="heading 9"/>
    <w:basedOn w:val="Standaard"/>
    <w:next w:val="Standaard"/>
    <w:link w:val="Kop9Char"/>
    <w:uiPriority w:val="99"/>
    <w:qFormat/>
    <w:rsid w:val="00D16ED2"/>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16ED2"/>
    <w:rPr>
      <w:rFonts w:ascii="Calisto MT" w:eastAsia="Times New Roman" w:hAnsi="Calisto MT" w:cs="Lucida Sans Unicode"/>
      <w:i/>
      <w:iCs/>
      <w:noProof/>
      <w:sz w:val="18"/>
      <w:szCs w:val="20"/>
      <w:lang w:val="nl-BE" w:eastAsia="nl-NL"/>
    </w:rPr>
  </w:style>
  <w:style w:type="character" w:customStyle="1" w:styleId="Kop2Char">
    <w:name w:val="Kop 2 Char"/>
    <w:basedOn w:val="Standaardalinea-lettertype"/>
    <w:link w:val="Kop2"/>
    <w:uiPriority w:val="99"/>
    <w:rsid w:val="00D16ED2"/>
    <w:rPr>
      <w:rFonts w:ascii="Univers" w:eastAsia="Times New Roman" w:hAnsi="Univers" w:cs="Times New Roman"/>
      <w:noProof/>
      <w:sz w:val="24"/>
      <w:szCs w:val="20"/>
      <w:lang w:val="nl-BE" w:eastAsia="nl-NL"/>
    </w:rPr>
  </w:style>
  <w:style w:type="character" w:customStyle="1" w:styleId="Kop3Char">
    <w:name w:val="Kop 3 Char"/>
    <w:basedOn w:val="Standaardalinea-lettertype"/>
    <w:link w:val="Kop3"/>
    <w:uiPriority w:val="99"/>
    <w:rsid w:val="00D16ED2"/>
    <w:rPr>
      <w:rFonts w:ascii="Univers" w:eastAsia="Times New Roman" w:hAnsi="Univers" w:cs="Lucida Sans Unicode"/>
      <w:b/>
      <w:bCs/>
      <w:noProof/>
      <w:szCs w:val="20"/>
      <w:lang w:val="nl-BE" w:eastAsia="nl-NL"/>
    </w:rPr>
  </w:style>
  <w:style w:type="character" w:customStyle="1" w:styleId="Kop4Char">
    <w:name w:val="Kop 4 Char"/>
    <w:basedOn w:val="Standaardalinea-lettertype"/>
    <w:link w:val="Kop4"/>
    <w:uiPriority w:val="99"/>
    <w:rsid w:val="00D16ED2"/>
    <w:rPr>
      <w:rFonts w:ascii="Univers" w:eastAsia="Times New Roman" w:hAnsi="Univers" w:cs="Lucida Sans Unicode"/>
      <w:noProof/>
      <w:szCs w:val="20"/>
      <w:u w:val="single"/>
      <w:lang w:val="nl-BE" w:eastAsia="nl-NL"/>
    </w:rPr>
  </w:style>
  <w:style w:type="character" w:customStyle="1" w:styleId="Kop5Char">
    <w:name w:val="Kop 5 Char"/>
    <w:basedOn w:val="Standaardalinea-lettertype"/>
    <w:link w:val="Kop5"/>
    <w:uiPriority w:val="99"/>
    <w:rsid w:val="00D16ED2"/>
    <w:rPr>
      <w:rFonts w:ascii="Univers" w:eastAsia="Times New Roman" w:hAnsi="Univers" w:cs="Times New Roman"/>
      <w:i/>
      <w:noProof/>
      <w:color w:val="0E0059"/>
      <w:szCs w:val="20"/>
      <w:lang w:val="nl-BE" w:eastAsia="nl-NL"/>
    </w:rPr>
  </w:style>
  <w:style w:type="character" w:customStyle="1" w:styleId="Kop6Char">
    <w:name w:val="Kop 6 Char"/>
    <w:basedOn w:val="Standaardalinea-lettertype"/>
    <w:link w:val="Kop6"/>
    <w:uiPriority w:val="99"/>
    <w:rsid w:val="00D16ED2"/>
    <w:rPr>
      <w:rFonts w:ascii="Myriad Pro" w:eastAsia="Times New Roman" w:hAnsi="Myriad Pro" w:cs="Times New Roman"/>
      <w:noProof/>
      <w:sz w:val="40"/>
      <w:szCs w:val="20"/>
      <w:lang w:val="nl-BE" w:eastAsia="nl-NL"/>
    </w:rPr>
  </w:style>
  <w:style w:type="character" w:customStyle="1" w:styleId="Kop7Char">
    <w:name w:val="Kop 7 Char"/>
    <w:basedOn w:val="Standaardalinea-lettertype"/>
    <w:link w:val="Kop7"/>
    <w:uiPriority w:val="99"/>
    <w:rsid w:val="00D16ED2"/>
    <w:rPr>
      <w:rFonts w:asciiTheme="majorHAnsi" w:eastAsiaTheme="majorEastAsia" w:hAnsiTheme="majorHAnsi" w:cstheme="majorBidi"/>
      <w:i/>
      <w:iCs/>
      <w:noProof/>
      <w:color w:val="1F3763" w:themeColor="accent1" w:themeShade="7F"/>
      <w:sz w:val="20"/>
      <w:szCs w:val="20"/>
      <w:lang w:val="nl-BE" w:eastAsia="nl-NL"/>
    </w:rPr>
  </w:style>
  <w:style w:type="character" w:customStyle="1" w:styleId="Kop8Char">
    <w:name w:val="Kop 8 Char"/>
    <w:basedOn w:val="Standaardalinea-lettertype"/>
    <w:link w:val="Kop8"/>
    <w:uiPriority w:val="99"/>
    <w:rsid w:val="00D16ED2"/>
    <w:rPr>
      <w:rFonts w:ascii="Myriad Pro" w:eastAsia="Times New Roman" w:hAnsi="Myriad Pro" w:cs="Times New Roman"/>
      <w:b/>
      <w:bCs/>
      <w:i/>
      <w:iCs/>
      <w:spacing w:val="-3"/>
      <w:szCs w:val="20"/>
      <w:lang w:val="nl-BE" w:eastAsia="nl-NL"/>
    </w:rPr>
  </w:style>
  <w:style w:type="character" w:customStyle="1" w:styleId="Kop9Char">
    <w:name w:val="Kop 9 Char"/>
    <w:basedOn w:val="Standaardalinea-lettertype"/>
    <w:link w:val="Kop9"/>
    <w:uiPriority w:val="99"/>
    <w:rsid w:val="00D16ED2"/>
    <w:rPr>
      <w:rFonts w:ascii="Myriad Pro" w:eastAsia="Times New Roman" w:hAnsi="Myriad Pro" w:cs="Times New Roman"/>
      <w:sz w:val="24"/>
      <w:szCs w:val="20"/>
      <w:lang w:val="nl-NL" w:eastAsia="nl-NL"/>
    </w:rPr>
  </w:style>
  <w:style w:type="paragraph" w:styleId="Koptekst">
    <w:name w:val="header"/>
    <w:basedOn w:val="Standaard"/>
    <w:link w:val="Koptekst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KoptekstChar">
    <w:name w:val="Koptekst Char"/>
    <w:basedOn w:val="Standaardalinea-lettertype"/>
    <w:link w:val="Koptekst"/>
    <w:uiPriority w:val="99"/>
    <w:rsid w:val="00D16ED2"/>
    <w:rPr>
      <w:rFonts w:ascii="Times New Roman" w:eastAsia="Times New Roman" w:hAnsi="Times New Roman" w:cs="Times New Roman"/>
      <w:noProof/>
      <w:sz w:val="20"/>
      <w:szCs w:val="20"/>
      <w:lang w:val="nl-BE" w:eastAsia="nl-NL"/>
    </w:rPr>
  </w:style>
  <w:style w:type="paragraph" w:styleId="Voettekst">
    <w:name w:val="footer"/>
    <w:basedOn w:val="Standaard"/>
    <w:link w:val="Voettekst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VoettekstChar">
    <w:name w:val="Voettekst Char"/>
    <w:basedOn w:val="Standaardalinea-lettertype"/>
    <w:link w:val="Voettekst"/>
    <w:uiPriority w:val="99"/>
    <w:rsid w:val="00D16ED2"/>
    <w:rPr>
      <w:rFonts w:ascii="Times New Roman" w:eastAsia="Times New Roman" w:hAnsi="Times New Roman" w:cs="Times New Roman"/>
      <w:noProof/>
      <w:sz w:val="20"/>
      <w:szCs w:val="20"/>
      <w:lang w:val="nl-BE" w:eastAsia="nl-NL"/>
    </w:rPr>
  </w:style>
  <w:style w:type="paragraph" w:styleId="Plattetekst">
    <w:name w:val="Body Text"/>
    <w:basedOn w:val="Standaard"/>
    <w:link w:val="PlattetekstChar"/>
    <w:uiPriority w:val="99"/>
    <w:rsid w:val="00D16ED2"/>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val="nl-BE" w:eastAsia="nl-NL"/>
    </w:rPr>
  </w:style>
  <w:style w:type="character" w:customStyle="1" w:styleId="PlattetekstChar">
    <w:name w:val="Platte tekst Char"/>
    <w:basedOn w:val="Standaardalinea-lettertype"/>
    <w:link w:val="Plattetekst"/>
    <w:uiPriority w:val="99"/>
    <w:rsid w:val="00D16ED2"/>
    <w:rPr>
      <w:rFonts w:ascii="Times New Roman" w:eastAsia="Times New Roman" w:hAnsi="Times New Roman" w:cs="Times New Roman"/>
      <w:noProof/>
      <w:szCs w:val="20"/>
      <w:lang w:val="nl-BE" w:eastAsia="nl-NL"/>
    </w:rPr>
  </w:style>
  <w:style w:type="character" w:styleId="Hyperlink">
    <w:name w:val="Hyperlink"/>
    <w:basedOn w:val="Standaardalinea-lettertype"/>
    <w:uiPriority w:val="99"/>
    <w:rsid w:val="00D16ED2"/>
    <w:rPr>
      <w:color w:val="0000FF"/>
      <w:u w:val="single"/>
    </w:rPr>
  </w:style>
  <w:style w:type="paragraph" w:styleId="Plattetekst2">
    <w:name w:val="Body Text 2"/>
    <w:basedOn w:val="Standaard"/>
    <w:link w:val="Plattetekst2Char"/>
    <w:uiPriority w:val="99"/>
    <w:rsid w:val="00D16ED2"/>
    <w:pPr>
      <w:autoSpaceDE w:val="0"/>
      <w:autoSpaceDN w:val="0"/>
      <w:adjustRightInd w:val="0"/>
      <w:spacing w:after="0" w:line="240" w:lineRule="auto"/>
    </w:pPr>
    <w:rPr>
      <w:rFonts w:ascii="Myriad Pro" w:eastAsia="Times New Roman" w:hAnsi="Myriad Pro" w:cs="Arial"/>
      <w:noProof/>
      <w:color w:val="3E3F2C"/>
      <w:sz w:val="20"/>
      <w:szCs w:val="20"/>
      <w:lang w:val="nl-BE" w:eastAsia="nl-NL"/>
    </w:rPr>
  </w:style>
  <w:style w:type="character" w:customStyle="1" w:styleId="Plattetekst2Char">
    <w:name w:val="Platte tekst 2 Char"/>
    <w:basedOn w:val="Standaardalinea-lettertype"/>
    <w:link w:val="Plattetekst2"/>
    <w:uiPriority w:val="99"/>
    <w:rsid w:val="00D16ED2"/>
    <w:rPr>
      <w:rFonts w:ascii="Myriad Pro" w:eastAsia="Times New Roman" w:hAnsi="Myriad Pro" w:cs="Arial"/>
      <w:noProof/>
      <w:color w:val="3E3F2C"/>
      <w:sz w:val="20"/>
      <w:szCs w:val="20"/>
      <w:lang w:val="nl-BE" w:eastAsia="nl-NL"/>
    </w:rPr>
  </w:style>
  <w:style w:type="paragraph" w:customStyle="1" w:styleId="Lijstalinea1">
    <w:name w:val="Lijstalinea1"/>
    <w:basedOn w:val="Standaard"/>
    <w:rsid w:val="00D16ED2"/>
    <w:pPr>
      <w:spacing w:after="200" w:line="276" w:lineRule="auto"/>
      <w:ind w:left="720"/>
      <w:contextualSpacing/>
    </w:pPr>
    <w:rPr>
      <w:rFonts w:ascii="Calibri" w:eastAsia="Times New Roman" w:hAnsi="Calibri" w:cs="Times New Roman"/>
      <w:noProof/>
      <w:lang w:val="nl-BE"/>
    </w:rPr>
  </w:style>
  <w:style w:type="paragraph" w:styleId="Lijstalinea">
    <w:name w:val="List Paragraph"/>
    <w:basedOn w:val="Standaard"/>
    <w:uiPriority w:val="34"/>
    <w:qFormat/>
    <w:rsid w:val="00D16ED2"/>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lang w:val="nl-BE" w:eastAsia="nl-NL"/>
    </w:rPr>
  </w:style>
  <w:style w:type="paragraph" w:styleId="Ballontekst">
    <w:name w:val="Balloon Text"/>
    <w:basedOn w:val="Standaard"/>
    <w:link w:val="BallontekstChar"/>
    <w:uiPriority w:val="99"/>
    <w:rsid w:val="00D16ED2"/>
    <w:pPr>
      <w:overflowPunct w:val="0"/>
      <w:autoSpaceDE w:val="0"/>
      <w:autoSpaceDN w:val="0"/>
      <w:adjustRightInd w:val="0"/>
      <w:spacing w:after="0" w:line="240" w:lineRule="auto"/>
      <w:textAlignment w:val="baseline"/>
    </w:pPr>
    <w:rPr>
      <w:rFonts w:ascii="Tahoma" w:eastAsia="Times New Roman" w:hAnsi="Tahoma" w:cs="Tahoma"/>
      <w:noProof/>
      <w:sz w:val="16"/>
      <w:szCs w:val="16"/>
      <w:lang w:val="nl-BE" w:eastAsia="nl-NL"/>
    </w:rPr>
  </w:style>
  <w:style w:type="character" w:customStyle="1" w:styleId="BallontekstChar">
    <w:name w:val="Ballontekst Char"/>
    <w:basedOn w:val="Standaardalinea-lettertype"/>
    <w:link w:val="Ballontekst"/>
    <w:uiPriority w:val="99"/>
    <w:rsid w:val="00D16ED2"/>
    <w:rPr>
      <w:rFonts w:ascii="Tahoma" w:eastAsia="Times New Roman" w:hAnsi="Tahoma" w:cs="Tahoma"/>
      <w:noProof/>
      <w:sz w:val="16"/>
      <w:szCs w:val="16"/>
      <w:lang w:val="nl-BE" w:eastAsia="nl-NL"/>
    </w:rPr>
  </w:style>
  <w:style w:type="table" w:styleId="Tabelraster">
    <w:name w:val="Table Grid"/>
    <w:basedOn w:val="Standaardtabel"/>
    <w:rsid w:val="00D16ED2"/>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Standaard"/>
    <w:locked/>
    <w:rsid w:val="00D16ED2"/>
    <w:pPr>
      <w:spacing w:after="0" w:line="260" w:lineRule="atLeast"/>
      <w:jc w:val="both"/>
    </w:pPr>
    <w:rPr>
      <w:rFonts w:ascii="Arial" w:eastAsia="Times New Roman" w:hAnsi="Arial" w:cs="Arial"/>
      <w:noProof/>
      <w:sz w:val="20"/>
      <w:szCs w:val="24"/>
      <w:lang w:val="en-GB" w:eastAsia="en-GB"/>
    </w:rPr>
  </w:style>
  <w:style w:type="character" w:customStyle="1" w:styleId="widget-contact-value">
    <w:name w:val="widget-contact-value"/>
    <w:basedOn w:val="Standaardalinea-lettertype"/>
    <w:rsid w:val="00D16ED2"/>
  </w:style>
  <w:style w:type="paragraph" w:customStyle="1" w:styleId="Aanhef1">
    <w:name w:val="Aanhef1"/>
    <w:basedOn w:val="Standaard"/>
    <w:next w:val="Standaard"/>
    <w:link w:val="Tekensvooraanhef"/>
    <w:uiPriority w:val="1"/>
    <w:unhideWhenUsed/>
    <w:qFormat/>
    <w:rsid w:val="00D16ED2"/>
    <w:pPr>
      <w:spacing w:before="720" w:line="288" w:lineRule="auto"/>
    </w:pPr>
    <w:rPr>
      <w:color w:val="595959" w:themeColor="text1" w:themeTint="A6"/>
      <w:kern w:val="20"/>
      <w:sz w:val="20"/>
      <w:szCs w:val="20"/>
      <w:lang w:val="nl-NL" w:eastAsia="nl-NL"/>
    </w:rPr>
  </w:style>
  <w:style w:type="character" w:customStyle="1" w:styleId="Tekensvooraanhef">
    <w:name w:val="Tekens voor aanhef"/>
    <w:basedOn w:val="Standaardalinea-lettertype"/>
    <w:link w:val="Aanhef1"/>
    <w:uiPriority w:val="1"/>
    <w:rsid w:val="00D16ED2"/>
    <w:rPr>
      <w:color w:val="595959" w:themeColor="text1" w:themeTint="A6"/>
      <w:kern w:val="20"/>
      <w:sz w:val="20"/>
      <w:szCs w:val="20"/>
      <w:lang w:val="nl-NL" w:eastAsia="nl-NL"/>
    </w:rPr>
  </w:style>
  <w:style w:type="paragraph" w:customStyle="1" w:styleId="bijschrift">
    <w:name w:val="bijschrift"/>
    <w:basedOn w:val="Standaard"/>
    <w:uiPriority w:val="99"/>
    <w:rsid w:val="00D16ED2"/>
    <w:pPr>
      <w:overflowPunct w:val="0"/>
      <w:autoSpaceDE w:val="0"/>
      <w:autoSpaceDN w:val="0"/>
      <w:adjustRightInd w:val="0"/>
      <w:spacing w:after="0" w:line="240" w:lineRule="auto"/>
      <w:textAlignment w:val="baseline"/>
    </w:pPr>
    <w:rPr>
      <w:rFonts w:ascii="Courier" w:eastAsia="Times New Roman" w:hAnsi="Courier" w:cs="Times New Roman"/>
      <w:sz w:val="24"/>
      <w:szCs w:val="20"/>
      <w:lang w:val="nl-NL" w:eastAsia="nl-NL"/>
    </w:rPr>
  </w:style>
  <w:style w:type="paragraph" w:customStyle="1" w:styleId="xl24">
    <w:name w:val="xl24"/>
    <w:basedOn w:val="Standaard"/>
    <w:uiPriority w:val="99"/>
    <w:rsid w:val="00D16ED2"/>
    <w:pP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5">
    <w:name w:val="xl25"/>
    <w:basedOn w:val="Standaard"/>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6">
    <w:name w:val="xl26"/>
    <w:basedOn w:val="Standaard"/>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7">
    <w:name w:val="xl27"/>
    <w:basedOn w:val="Standaard"/>
    <w:uiPriority w:val="99"/>
    <w:rsid w:val="00D16ED2"/>
    <w:pP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8">
    <w:name w:val="xl28"/>
    <w:basedOn w:val="Standaard"/>
    <w:uiPriority w:val="99"/>
    <w:rsid w:val="00D16ED2"/>
    <w:pPr>
      <w:spacing w:before="100" w:beforeAutospacing="1" w:after="100" w:afterAutospacing="1" w:line="240" w:lineRule="auto"/>
      <w:jc w:val="center"/>
      <w:textAlignment w:val="center"/>
    </w:pPr>
    <w:rPr>
      <w:rFonts w:ascii="Univers" w:eastAsia="Arial Unicode MS" w:hAnsi="Univers" w:cs="Arial Unicode MS"/>
      <w:b/>
      <w:bCs/>
      <w:sz w:val="24"/>
      <w:szCs w:val="24"/>
      <w:lang w:val="nl-NL" w:eastAsia="nl-NL"/>
    </w:rPr>
  </w:style>
  <w:style w:type="paragraph" w:customStyle="1" w:styleId="xl29">
    <w:name w:val="xl29"/>
    <w:basedOn w:val="Standaard"/>
    <w:uiPriority w:val="99"/>
    <w:rsid w:val="00D16E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0">
    <w:name w:val="xl30"/>
    <w:basedOn w:val="Standaard"/>
    <w:uiPriority w:val="99"/>
    <w:rsid w:val="00D16ED2"/>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1">
    <w:name w:val="xl31"/>
    <w:basedOn w:val="Standaard"/>
    <w:uiPriority w:val="99"/>
    <w:rsid w:val="00D16ED2"/>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2">
    <w:name w:val="xl32"/>
    <w:basedOn w:val="Standaard"/>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3">
    <w:name w:val="xl33"/>
    <w:basedOn w:val="Standaard"/>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4">
    <w:name w:val="xl34"/>
    <w:basedOn w:val="Standaard"/>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5">
    <w:name w:val="xl35"/>
    <w:basedOn w:val="Standaard"/>
    <w:uiPriority w:val="99"/>
    <w:rsid w:val="00D16E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6">
    <w:name w:val="xl36"/>
    <w:basedOn w:val="Standaard"/>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7">
    <w:name w:val="xl37"/>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8">
    <w:name w:val="xl38"/>
    <w:basedOn w:val="Standaard"/>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39">
    <w:name w:val="xl39"/>
    <w:basedOn w:val="Standaard"/>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0">
    <w:name w:val="xl40"/>
    <w:basedOn w:val="Standaard"/>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1">
    <w:name w:val="xl41"/>
    <w:basedOn w:val="Standaard"/>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2">
    <w:name w:val="xl42"/>
    <w:basedOn w:val="Standaard"/>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3">
    <w:name w:val="xl43"/>
    <w:basedOn w:val="Standaard"/>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4">
    <w:name w:val="xl44"/>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5">
    <w:name w:val="xl45"/>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6">
    <w:name w:val="xl46"/>
    <w:basedOn w:val="Standaard"/>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7">
    <w:name w:val="xl47"/>
    <w:basedOn w:val="Standaard"/>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8">
    <w:name w:val="xl48"/>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9">
    <w:name w:val="xl49"/>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0">
    <w:name w:val="xl50"/>
    <w:basedOn w:val="Standaard"/>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1">
    <w:name w:val="xl51"/>
    <w:basedOn w:val="Standaard"/>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2">
    <w:name w:val="xl52"/>
    <w:basedOn w:val="Standaard"/>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3">
    <w:name w:val="xl53"/>
    <w:basedOn w:val="Standaard"/>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54">
    <w:name w:val="xl54"/>
    <w:basedOn w:val="Standaard"/>
    <w:uiPriority w:val="99"/>
    <w:rsid w:val="00D16ED2"/>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5">
    <w:name w:val="xl55"/>
    <w:basedOn w:val="Standaard"/>
    <w:uiPriority w:val="99"/>
    <w:rsid w:val="00D16ED2"/>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6">
    <w:name w:val="xl56"/>
    <w:basedOn w:val="Standaard"/>
    <w:uiPriority w:val="99"/>
    <w:rsid w:val="00D16ED2"/>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7">
    <w:name w:val="xl57"/>
    <w:basedOn w:val="Standaard"/>
    <w:uiPriority w:val="99"/>
    <w:rsid w:val="00D16ED2"/>
    <w:pP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8">
    <w:name w:val="xl58"/>
    <w:basedOn w:val="Standaard"/>
    <w:uiPriority w:val="99"/>
    <w:rsid w:val="00D16ED2"/>
    <w:pPr>
      <w:spacing w:before="100" w:beforeAutospacing="1" w:after="100" w:afterAutospacing="1" w:line="240" w:lineRule="auto"/>
      <w:textAlignment w:val="center"/>
    </w:pPr>
    <w:rPr>
      <w:rFonts w:ascii="Univers" w:eastAsia="Arial Unicode MS" w:hAnsi="Univers" w:cs="Arial Unicode MS"/>
      <w:color w:val="000000"/>
      <w:sz w:val="18"/>
      <w:szCs w:val="18"/>
      <w:lang w:val="nl-NL" w:eastAsia="nl-NL"/>
    </w:rPr>
  </w:style>
  <w:style w:type="paragraph" w:customStyle="1" w:styleId="xl59">
    <w:name w:val="xl59"/>
    <w:basedOn w:val="Standaard"/>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60">
    <w:name w:val="xl60"/>
    <w:basedOn w:val="Standaard"/>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paragraph" w:customStyle="1" w:styleId="xl61">
    <w:name w:val="xl61"/>
    <w:basedOn w:val="Standaard"/>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character" w:styleId="Paginanummer">
    <w:name w:val="page number"/>
    <w:basedOn w:val="Standaardalinea-lettertype"/>
    <w:uiPriority w:val="99"/>
    <w:semiHidden/>
    <w:rsid w:val="00D16ED2"/>
    <w:rPr>
      <w:rFonts w:cs="Times New Roman"/>
    </w:rPr>
  </w:style>
  <w:style w:type="paragraph" w:customStyle="1" w:styleId="xl22">
    <w:name w:val="xl22"/>
    <w:basedOn w:val="Standaard"/>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23">
    <w:name w:val="xl23"/>
    <w:basedOn w:val="Standaard"/>
    <w:uiPriority w:val="99"/>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styleId="Normaalweb">
    <w:name w:val="Normal (Web)"/>
    <w:basedOn w:val="Standaard"/>
    <w:uiPriority w:val="99"/>
    <w:unhideWhenUsed/>
    <w:rsid w:val="00D16ED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D16ED2"/>
    <w:rPr>
      <w:sz w:val="16"/>
      <w:szCs w:val="16"/>
    </w:rPr>
  </w:style>
  <w:style w:type="paragraph" w:styleId="Tekstopmerking">
    <w:name w:val="annotation text"/>
    <w:basedOn w:val="Standaard"/>
    <w:link w:val="TekstopmerkingChar"/>
    <w:uiPriority w:val="99"/>
    <w:semiHidden/>
    <w:unhideWhenUsed/>
    <w:rsid w:val="00D16E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uiPriority w:val="99"/>
    <w:semiHidden/>
    <w:rsid w:val="00D16ED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6ED2"/>
    <w:rPr>
      <w:b/>
      <w:bCs/>
    </w:rPr>
  </w:style>
  <w:style w:type="character" w:customStyle="1" w:styleId="OnderwerpvanopmerkingChar">
    <w:name w:val="Onderwerp van opmerking Char"/>
    <w:basedOn w:val="TekstopmerkingChar"/>
    <w:link w:val="Onderwerpvanopmerking"/>
    <w:uiPriority w:val="99"/>
    <w:semiHidden/>
    <w:rsid w:val="00D16ED2"/>
    <w:rPr>
      <w:rFonts w:ascii="Times New Roman" w:eastAsia="Times New Roman" w:hAnsi="Times New Roman" w:cs="Times New Roman"/>
      <w:b/>
      <w:bCs/>
      <w:sz w:val="20"/>
      <w:szCs w:val="20"/>
      <w:lang w:val="nl-NL" w:eastAsia="nl-NL"/>
    </w:rPr>
  </w:style>
  <w:style w:type="character" w:styleId="Onopgelostemelding">
    <w:name w:val="Unresolved Mention"/>
    <w:basedOn w:val="Standaardalinea-lettertype"/>
    <w:uiPriority w:val="99"/>
    <w:semiHidden/>
    <w:unhideWhenUsed/>
    <w:rsid w:val="00D16ED2"/>
    <w:rPr>
      <w:color w:val="605E5C"/>
      <w:shd w:val="clear" w:color="auto" w:fill="E1DFDD"/>
    </w:rPr>
  </w:style>
  <w:style w:type="character" w:styleId="GevolgdeHyperlink">
    <w:name w:val="FollowedHyperlink"/>
    <w:basedOn w:val="Standaardalinea-lettertype"/>
    <w:uiPriority w:val="99"/>
    <w:semiHidden/>
    <w:unhideWhenUsed/>
    <w:rsid w:val="00D16ED2"/>
    <w:rPr>
      <w:color w:val="800080"/>
      <w:u w:val="single"/>
    </w:rPr>
  </w:style>
  <w:style w:type="paragraph" w:customStyle="1" w:styleId="msonormal0">
    <w:name w:val="msonormal"/>
    <w:basedOn w:val="Standaard"/>
    <w:rsid w:val="00D16ED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Standaard"/>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8">
    <w:name w:val="xl68"/>
    <w:basedOn w:val="Standaard"/>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9">
    <w:name w:val="xl69"/>
    <w:basedOn w:val="Standaard"/>
    <w:rsid w:val="00D16ED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0">
    <w:name w:val="xl70"/>
    <w:basedOn w:val="Standaard"/>
    <w:rsid w:val="00D16ED2"/>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1">
    <w:name w:val="xl71"/>
    <w:basedOn w:val="Standaard"/>
    <w:rsid w:val="00D16ED2"/>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2">
    <w:name w:val="xl72"/>
    <w:basedOn w:val="Standaard"/>
    <w:rsid w:val="00D16ED2"/>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3">
    <w:name w:val="xl73"/>
    <w:basedOn w:val="Standaard"/>
    <w:rsid w:val="00D16ED2"/>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4">
    <w:name w:val="xl74"/>
    <w:basedOn w:val="Standaard"/>
    <w:rsid w:val="00D16ED2"/>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75">
    <w:name w:val="xl75"/>
    <w:basedOn w:val="Standaard"/>
    <w:rsid w:val="00D16ED2"/>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6">
    <w:name w:val="xl76"/>
    <w:basedOn w:val="Standaard"/>
    <w:rsid w:val="00D16ED2"/>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7">
    <w:name w:val="xl77"/>
    <w:basedOn w:val="Standaard"/>
    <w:rsid w:val="00D16ED2"/>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8">
    <w:name w:val="xl78"/>
    <w:basedOn w:val="Standaard"/>
    <w:rsid w:val="00D16ED2"/>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9">
    <w:name w:val="xl79"/>
    <w:basedOn w:val="Standaard"/>
    <w:rsid w:val="00D16ED2"/>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80">
    <w:name w:val="xl80"/>
    <w:basedOn w:val="Standaard"/>
    <w:rsid w:val="00D16ED2"/>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81">
    <w:name w:val="xl81"/>
    <w:basedOn w:val="Standaard"/>
    <w:rsid w:val="00D16ED2"/>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82">
    <w:name w:val="xl82"/>
    <w:basedOn w:val="Standaard"/>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3">
    <w:name w:val="xl83"/>
    <w:basedOn w:val="Standaard"/>
    <w:rsid w:val="00D16ED2"/>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4">
    <w:name w:val="xl84"/>
    <w:basedOn w:val="Standaard"/>
    <w:rsid w:val="00D16ED2"/>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5">
    <w:name w:val="xl85"/>
    <w:basedOn w:val="Standaard"/>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6">
    <w:name w:val="xl86"/>
    <w:basedOn w:val="Standaard"/>
    <w:rsid w:val="00D16ED2"/>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7">
    <w:name w:val="xl87"/>
    <w:basedOn w:val="Standaard"/>
    <w:rsid w:val="00D16ED2"/>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8">
    <w:name w:val="xl88"/>
    <w:basedOn w:val="Standaard"/>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89">
    <w:name w:val="xl89"/>
    <w:basedOn w:val="Standaard"/>
    <w:rsid w:val="00D16ED2"/>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0">
    <w:name w:val="xl90"/>
    <w:basedOn w:val="Standaard"/>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1">
    <w:name w:val="xl91"/>
    <w:basedOn w:val="Standaard"/>
    <w:rsid w:val="00D16ED2"/>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2">
    <w:name w:val="xl92"/>
    <w:basedOn w:val="Standaard"/>
    <w:rsid w:val="00D16ED2"/>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3">
    <w:name w:val="xl93"/>
    <w:basedOn w:val="Standaard"/>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4">
    <w:name w:val="xl94"/>
    <w:basedOn w:val="Standaard"/>
    <w:rsid w:val="00D16ED2"/>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5">
    <w:name w:val="xl95"/>
    <w:basedOn w:val="Standaard"/>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6">
    <w:name w:val="xl96"/>
    <w:basedOn w:val="Standaard"/>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7">
    <w:name w:val="xl97"/>
    <w:basedOn w:val="Standaard"/>
    <w:rsid w:val="00D16ED2"/>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8">
    <w:name w:val="xl98"/>
    <w:basedOn w:val="Standaard"/>
    <w:rsid w:val="00D16ED2"/>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9">
    <w:name w:val="xl99"/>
    <w:basedOn w:val="Standaard"/>
    <w:rsid w:val="00D16ED2"/>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0">
    <w:name w:val="xl100"/>
    <w:basedOn w:val="Standaard"/>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1">
    <w:name w:val="xl101"/>
    <w:basedOn w:val="Standaard"/>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2">
    <w:name w:val="xl102"/>
    <w:basedOn w:val="Standaard"/>
    <w:rsid w:val="00D16ED2"/>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3">
    <w:name w:val="xl103"/>
    <w:basedOn w:val="Standaard"/>
    <w:rsid w:val="00D16ED2"/>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4">
    <w:name w:val="xl104"/>
    <w:basedOn w:val="Standaard"/>
    <w:rsid w:val="00D16ED2"/>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5">
    <w:name w:val="xl105"/>
    <w:basedOn w:val="Standaard"/>
    <w:rsid w:val="00D16ED2"/>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6">
    <w:name w:val="xl106"/>
    <w:basedOn w:val="Standaard"/>
    <w:rsid w:val="00D16ED2"/>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07">
    <w:name w:val="xl107"/>
    <w:basedOn w:val="Standaard"/>
    <w:rsid w:val="00D16ED2"/>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8">
    <w:name w:val="xl108"/>
    <w:basedOn w:val="Standaard"/>
    <w:rsid w:val="00D16ED2"/>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9">
    <w:name w:val="xl109"/>
    <w:basedOn w:val="Standaard"/>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110">
    <w:name w:val="xl110"/>
    <w:basedOn w:val="Standaard"/>
    <w:rsid w:val="00D16ED2"/>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11">
    <w:name w:val="xl111"/>
    <w:basedOn w:val="Standaard"/>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2">
    <w:name w:val="xl112"/>
    <w:basedOn w:val="Standaard"/>
    <w:rsid w:val="00D16ED2"/>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3">
    <w:name w:val="xl113"/>
    <w:basedOn w:val="Standaard"/>
    <w:rsid w:val="00D16ED2"/>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4">
    <w:name w:val="xl114"/>
    <w:basedOn w:val="Standaard"/>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5">
    <w:name w:val="xl115"/>
    <w:basedOn w:val="Standaard"/>
    <w:rsid w:val="00D16ED2"/>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6">
    <w:name w:val="xl116"/>
    <w:basedOn w:val="Standaard"/>
    <w:rsid w:val="00D16ED2"/>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7">
    <w:name w:val="xl117"/>
    <w:basedOn w:val="Standaard"/>
    <w:rsid w:val="00D16ED2"/>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8">
    <w:name w:val="xl118"/>
    <w:basedOn w:val="Standaard"/>
    <w:rsid w:val="00D16ED2"/>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9">
    <w:name w:val="xl119"/>
    <w:basedOn w:val="Standaard"/>
    <w:rsid w:val="00D16ED2"/>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20">
    <w:name w:val="xl120"/>
    <w:basedOn w:val="Standaard"/>
    <w:rsid w:val="00D16E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1">
    <w:name w:val="xl121"/>
    <w:basedOn w:val="Standaard"/>
    <w:rsid w:val="00D16ED2"/>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2">
    <w:name w:val="xl122"/>
    <w:basedOn w:val="Standaard"/>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65">
    <w:name w:val="xl65"/>
    <w:basedOn w:val="Standaard"/>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6">
    <w:name w:val="xl66"/>
    <w:basedOn w:val="Standaard"/>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0929">
      <w:bodyDiv w:val="1"/>
      <w:marLeft w:val="0"/>
      <w:marRight w:val="0"/>
      <w:marTop w:val="0"/>
      <w:marBottom w:val="0"/>
      <w:divBdr>
        <w:top w:val="none" w:sz="0" w:space="0" w:color="auto"/>
        <w:left w:val="none" w:sz="0" w:space="0" w:color="auto"/>
        <w:bottom w:val="none" w:sz="0" w:space="0" w:color="auto"/>
        <w:right w:val="none" w:sz="0" w:space="0" w:color="auto"/>
      </w:divBdr>
    </w:div>
    <w:div w:id="651562525">
      <w:bodyDiv w:val="1"/>
      <w:marLeft w:val="0"/>
      <w:marRight w:val="0"/>
      <w:marTop w:val="0"/>
      <w:marBottom w:val="0"/>
      <w:divBdr>
        <w:top w:val="none" w:sz="0" w:space="0" w:color="auto"/>
        <w:left w:val="none" w:sz="0" w:space="0" w:color="auto"/>
        <w:bottom w:val="none" w:sz="0" w:space="0" w:color="auto"/>
        <w:right w:val="none" w:sz="0" w:space="0" w:color="auto"/>
      </w:divBdr>
    </w:div>
    <w:div w:id="6864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192.168.102.2\data%20Brussel\Febeltex\Economisch\Thema\Economie\Economische%20en%20industi&#235;le%20statistieken\subsectoren\Grafiek%20meubelhandel8202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Furniture industry</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5B04-4AE9-95C2-0E214DC54678}"/>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04-4AE9-95C2-0E214DC54678}"/>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04-4AE9-95C2-0E214DC546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Feuil1!$B$1:$S$1</c:f>
              <c:strCache>
                <c:ptCount val="18"/>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6 m 2022</c:v>
                </c:pt>
              </c:strCache>
            </c:strRef>
          </c:cat>
          <c:val>
            <c:numRef>
              <c:f>Feuil1!$B$3:$S$3</c:f>
              <c:numCache>
                <c:formatCode>0.0\ </c:formatCode>
                <c:ptCount val="18"/>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2.9</c:v>
                </c:pt>
              </c:numCache>
            </c:numRef>
          </c:val>
          <c:extLst>
            <c:ext xmlns:c16="http://schemas.microsoft.com/office/drawing/2014/chart" uri="{C3380CC4-5D6E-409C-BE32-E72D297353CC}">
              <c16:uniqueId val="{00000003-5B04-4AE9-95C2-0E214DC54678}"/>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6665120"/>
        <c:crosses val="autoZero"/>
        <c:auto val="1"/>
        <c:lblAlgn val="ctr"/>
        <c:lblOffset val="100"/>
        <c:noMultiLvlLbl val="0"/>
      </c:catAx>
      <c:valAx>
        <c:axId val="71666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none"/>
          </c:marker>
          <c:dLbls>
            <c:numFmt formatCode="#,##0.0" sourceLinked="0"/>
            <c:spPr>
              <a:noFill/>
              <a:ln>
                <a:noFill/>
              </a:ln>
              <a:effectLst/>
            </c:spPr>
            <c:txPr>
              <a:bodyPr wrap="square" lIns="38100" tIns="19050" rIns="38100" bIns="19050" anchor="ctr">
                <a:spAutoFit/>
              </a:bodyPr>
              <a:lstStyle/>
              <a:p>
                <a:pPr>
                  <a:defRPr sz="8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PRODKAP!$A$54:$A$85</c:f>
              <c:strCache>
                <c:ptCount val="32"/>
                <c:pt idx="0">
                  <c:v>III/14</c:v>
                </c:pt>
                <c:pt idx="1">
                  <c:v>IV/14</c:v>
                </c:pt>
                <c:pt idx="2">
                  <c:v>I/15</c:v>
                </c:pt>
                <c:pt idx="3">
                  <c:v>II/15</c:v>
                </c:pt>
                <c:pt idx="4">
                  <c:v>III/15</c:v>
                </c:pt>
                <c:pt idx="5">
                  <c:v>IV/15</c:v>
                </c:pt>
                <c:pt idx="6">
                  <c:v>I/16</c:v>
                </c:pt>
                <c:pt idx="7">
                  <c:v>II/16</c:v>
                </c:pt>
                <c:pt idx="8">
                  <c:v>III/16</c:v>
                </c:pt>
                <c:pt idx="9">
                  <c:v>IV/16</c:v>
                </c:pt>
                <c:pt idx="10">
                  <c:v>I/17</c:v>
                </c:pt>
                <c:pt idx="11">
                  <c:v>II/17</c:v>
                </c:pt>
                <c:pt idx="12">
                  <c:v>III/17</c:v>
                </c:pt>
                <c:pt idx="13">
                  <c:v>IV/17</c:v>
                </c:pt>
                <c:pt idx="14">
                  <c:v>I/18</c:v>
                </c:pt>
                <c:pt idx="15">
                  <c:v>II/18</c:v>
                </c:pt>
                <c:pt idx="16">
                  <c:v>III/18</c:v>
                </c:pt>
                <c:pt idx="17">
                  <c:v>IV/18</c:v>
                </c:pt>
                <c:pt idx="18">
                  <c:v>I/19</c:v>
                </c:pt>
                <c:pt idx="19">
                  <c:v>II/19</c:v>
                </c:pt>
                <c:pt idx="20">
                  <c:v>III/19</c:v>
                </c:pt>
                <c:pt idx="21">
                  <c:v>IV/19</c:v>
                </c:pt>
                <c:pt idx="22">
                  <c:v>I/20</c:v>
                </c:pt>
                <c:pt idx="23">
                  <c:v>II/20</c:v>
                </c:pt>
                <c:pt idx="24">
                  <c:v>III/20</c:v>
                </c:pt>
                <c:pt idx="25">
                  <c:v>IV/20</c:v>
                </c:pt>
                <c:pt idx="26">
                  <c:v>I/21</c:v>
                </c:pt>
                <c:pt idx="27">
                  <c:v>II/21</c:v>
                </c:pt>
                <c:pt idx="28">
                  <c:v>III/21</c:v>
                </c:pt>
                <c:pt idx="29">
                  <c:v>IV/21</c:v>
                </c:pt>
                <c:pt idx="30">
                  <c:v>I/22</c:v>
                </c:pt>
                <c:pt idx="31">
                  <c:v>II/22</c:v>
                </c:pt>
              </c:strCache>
            </c:strRef>
          </c:cat>
          <c:val>
            <c:numRef>
              <c:f>PRODKAP!$B$54:$B$85</c:f>
              <c:numCache>
                <c:formatCode>0.0</c:formatCode>
                <c:ptCount val="32"/>
                <c:pt idx="0">
                  <c:v>76.430000000000007</c:v>
                </c:pt>
                <c:pt idx="1">
                  <c:v>76.790000000000006</c:v>
                </c:pt>
                <c:pt idx="2">
                  <c:v>79.900000000000006</c:v>
                </c:pt>
                <c:pt idx="3">
                  <c:v>80.7</c:v>
                </c:pt>
                <c:pt idx="4">
                  <c:v>82.5</c:v>
                </c:pt>
                <c:pt idx="5">
                  <c:v>82.88</c:v>
                </c:pt>
                <c:pt idx="6">
                  <c:v>81.2</c:v>
                </c:pt>
                <c:pt idx="7">
                  <c:v>80.099999999999994</c:v>
                </c:pt>
                <c:pt idx="8">
                  <c:v>80.8</c:v>
                </c:pt>
                <c:pt idx="9">
                  <c:v>80.3</c:v>
                </c:pt>
                <c:pt idx="10" formatCode="0.00">
                  <c:v>82.5</c:v>
                </c:pt>
                <c:pt idx="11" formatCode="0.00">
                  <c:v>80.3</c:v>
                </c:pt>
                <c:pt idx="12" formatCode="0.00">
                  <c:v>79</c:v>
                </c:pt>
                <c:pt idx="13" formatCode="0.00">
                  <c:v>75</c:v>
                </c:pt>
                <c:pt idx="14" formatCode="0.00">
                  <c:v>80.900000000000006</c:v>
                </c:pt>
                <c:pt idx="15" formatCode="0.00">
                  <c:v>79.900000000000006</c:v>
                </c:pt>
                <c:pt idx="16" formatCode="0.00">
                  <c:v>82</c:v>
                </c:pt>
                <c:pt idx="17" formatCode="0.00">
                  <c:v>81.5</c:v>
                </c:pt>
                <c:pt idx="18" formatCode="0.00">
                  <c:v>79</c:v>
                </c:pt>
                <c:pt idx="19" formatCode="0.00">
                  <c:v>80.7</c:v>
                </c:pt>
                <c:pt idx="20" formatCode="0.00">
                  <c:v>81.5</c:v>
                </c:pt>
                <c:pt idx="21" formatCode="0.00">
                  <c:v>83.2</c:v>
                </c:pt>
                <c:pt idx="22" formatCode="0.00">
                  <c:v>82</c:v>
                </c:pt>
                <c:pt idx="23" formatCode="0.00">
                  <c:v>84</c:v>
                </c:pt>
                <c:pt idx="24" formatCode="0.00">
                  <c:v>86</c:v>
                </c:pt>
                <c:pt idx="25" formatCode="0.00">
                  <c:v>83.3</c:v>
                </c:pt>
                <c:pt idx="26" formatCode="0.00">
                  <c:v>86.5</c:v>
                </c:pt>
                <c:pt idx="27" formatCode="0.00">
                  <c:v>87.5</c:v>
                </c:pt>
                <c:pt idx="28" formatCode="0.00">
                  <c:v>85.9</c:v>
                </c:pt>
                <c:pt idx="29" formatCode="0.00">
                  <c:v>86.2</c:v>
                </c:pt>
                <c:pt idx="30" formatCode="0.00">
                  <c:v>83.4</c:v>
                </c:pt>
                <c:pt idx="31" formatCode="0.00">
                  <c:v>89</c:v>
                </c:pt>
              </c:numCache>
            </c:numRef>
          </c:val>
          <c:smooth val="0"/>
          <c:extLst>
            <c:ext xmlns:c16="http://schemas.microsoft.com/office/drawing/2014/chart" uri="{C3380CC4-5D6E-409C-BE32-E72D297353CC}">
              <c16:uniqueId val="{00000000-2E3F-4F76-9324-DCBCC9C01592}"/>
            </c:ext>
          </c:extLst>
        </c:ser>
        <c:dLbls>
          <c:dLblPos val="t"/>
          <c:showLegendKey val="0"/>
          <c:showVal val="1"/>
          <c:showCatName val="0"/>
          <c:showSerName val="0"/>
          <c:showPercent val="0"/>
          <c:showBubbleSize val="0"/>
        </c:dLbls>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en-US"/>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rtl="0">
                  <a:defRPr/>
                </a:pPr>
                <a:r>
                  <a:rPr lang="en-GB"/>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en-US"/>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7624671916011"/>
          <c:y val="6.5364875228600086E-2"/>
          <c:w val="0.89872371780879601"/>
          <c:h val="0.92314044193763889"/>
        </c:manualLayout>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Blad1!$A$18:$A$37</c:f>
              <c:strCache>
                <c:ptCount val="20"/>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strCache>
            </c:strRef>
          </c:cat>
          <c:val>
            <c:numRef>
              <c:f>Blad1!$B$18:$B$37</c:f>
              <c:numCache>
                <c:formatCode>0.0</c:formatCode>
                <c:ptCount val="20"/>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numCache>
            </c:numRef>
          </c:val>
          <c:extLst>
            <c:ext xmlns:c16="http://schemas.microsoft.com/office/drawing/2014/chart" uri="{C3380CC4-5D6E-409C-BE32-E72D297353CC}">
              <c16:uniqueId val="{00000000-16F9-4A57-BDC1-1B05D4679A48}"/>
            </c:ext>
          </c:extLst>
        </c:ser>
        <c:dLbls>
          <c:dLblPos val="outEnd"/>
          <c:showLegendKey val="0"/>
          <c:showVal val="1"/>
          <c:showCatName val="0"/>
          <c:showSerName val="0"/>
          <c:showPercent val="0"/>
          <c:showBubbleSize val="0"/>
        </c:dLbls>
        <c:gapWidth val="219"/>
        <c:overlap val="-27"/>
        <c:axId val="446140000"/>
        <c:axId val="446136720"/>
      </c:barChart>
      <c:catAx>
        <c:axId val="44614000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136720"/>
        <c:crosses val="autoZero"/>
        <c:auto val="1"/>
        <c:lblAlgn val="ctr"/>
        <c:lblOffset val="100"/>
        <c:noMultiLvlLbl val="0"/>
      </c:catAx>
      <c:valAx>
        <c:axId val="44613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r>
                  <a:rPr lang="en-GB"/>
                  <a:t>in</a:t>
                </a:r>
                <a:r>
                  <a:rPr lang="en-GB" baseline="0"/>
                  <a:t> %</a:t>
                </a:r>
              </a:p>
            </c:rich>
          </c:tx>
          <c:overlay val="0"/>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14000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2"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highlight>
              <a:srgbClr val="FFFF00"/>
            </a:highlight>
          </a:endParaRPr>
        </a:p>
      </cdr:txBody>
    </cdr:sp>
  </cdr:relSizeAnchor>
  <cdr:relSizeAnchor xmlns:cdr="http://schemas.openxmlformats.org/drawingml/2006/chartDrawing">
    <cdr:from>
      <cdr:x>0</cdr:x>
      <cdr:y>0.00365</cdr:y>
    </cdr:from>
    <cdr:to>
      <cdr:x>0.06338</cdr:x>
      <cdr:y>0.09658</cdr:y>
    </cdr:to>
    <cdr:sp macro="" textlink="">
      <cdr:nvSpPr>
        <cdr:cNvPr id="3"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spcBef>
              <a:spcPts val="0"/>
            </a:spcBef>
            <a:spcAft>
              <a:spcPts val="0"/>
            </a:spcAft>
            <a:buClrTx/>
            <a:buSzTx/>
            <a:buFontTx/>
            <a:buNone/>
            <a:tabLst/>
            <a:defRPr/>
          </a:pPr>
          <a:r>
            <a:rPr kumimoji="0" lang="en-GB" sz="800" b="1" i="0" u="none" strike="noStrike" kern="1200" cap="none" spc="0" normalizeH="0" baseline="0">
              <a:ln>
                <a:noFill/>
              </a:ln>
              <a:solidFill>
                <a:prstClr val="black"/>
              </a:solidFill>
              <a:effectLst/>
              <a:uLnTx/>
              <a:uFillTx/>
              <a:latin typeface="Calibri" panose="020F0502020204030204"/>
              <a:ea typeface="+mn-ea"/>
              <a:cs typeface="+mn-cs"/>
            </a:rPr>
            <a:t>In %</a:t>
          </a:r>
        </a:p>
      </cdr:txBody>
    </cdr:sp>
  </cdr:relSizeAnchor>
  <cdr:relSizeAnchor xmlns:cdr="http://schemas.openxmlformats.org/drawingml/2006/chartDrawing">
    <cdr:from>
      <cdr:x>0</cdr:x>
      <cdr:y>0</cdr:y>
    </cdr:from>
    <cdr:to>
      <cdr:x>1</cdr:x>
      <cdr:y>0.1137</cdr:y>
    </cdr:to>
    <cdr:sp macro="" textlink="">
      <cdr:nvSpPr>
        <cdr:cNvPr id="4"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kumimoji="0" lang="en-GB" sz="1200" b="1" i="0" u="none" strike="noStrike" kern="1200" cap="none" spc="0" normalizeH="0" baseline="0">
              <a:ln>
                <a:noFill/>
              </a:ln>
              <a:solidFill>
                <a:srgbClr val="3E3F2C"/>
              </a:solidFill>
              <a:effectLst/>
              <a:uLnTx/>
              <a:uFillTx/>
              <a:latin typeface="Calibri" panose="020F0502020204030204"/>
              <a:ea typeface="+mn-ea"/>
              <a:cs typeface="+mn-cs"/>
            </a:rPr>
            <a:t>Turnover growth rates in the Belgian furniture industry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6045-BABE-45CA-AE73-47B0AA63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Glenn De Maeseneer</cp:lastModifiedBy>
  <cp:revision>23</cp:revision>
  <cp:lastPrinted>2022-11-06T21:47:00Z</cp:lastPrinted>
  <dcterms:created xsi:type="dcterms:W3CDTF">2022-11-02T08:28:00Z</dcterms:created>
  <dcterms:modified xsi:type="dcterms:W3CDTF">2022-11-07T06:52:00Z</dcterms:modified>
</cp:coreProperties>
</file>