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EB8A" w14:textId="1ED41853" w:rsidR="004701F4" w:rsidRDefault="00E12635">
      <w:pPr>
        <w:rPr>
          <w:b/>
          <w:bCs/>
          <w:lang w:val="en-GB"/>
        </w:rPr>
      </w:pPr>
      <w:r>
        <w:rPr>
          <w:b/>
          <w:bCs/>
          <w:noProof/>
          <w:lang w:val="en-GB"/>
        </w:rPr>
        <w:drawing>
          <wp:inline distT="0" distB="0" distL="0" distR="0" wp14:anchorId="49B5F5ED" wp14:editId="7CA4AFD1">
            <wp:extent cx="5923720" cy="1184744"/>
            <wp:effectExtent l="0" t="0" r="1270" b="0"/>
            <wp:docPr id="984134649" name="Picture 2"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134649" name="Picture 2" descr="A white text on a black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38726" cy="1187745"/>
                    </a:xfrm>
                    <a:prstGeom prst="rect">
                      <a:avLst/>
                    </a:prstGeom>
                  </pic:spPr>
                </pic:pic>
              </a:graphicData>
            </a:graphic>
          </wp:inline>
        </w:drawing>
      </w:r>
    </w:p>
    <w:p w14:paraId="4501793D" w14:textId="77777777" w:rsidR="004701F4" w:rsidRDefault="004701F4">
      <w:pPr>
        <w:rPr>
          <w:b/>
          <w:bCs/>
          <w:lang w:val="en-GB"/>
        </w:rPr>
      </w:pPr>
    </w:p>
    <w:p w14:paraId="3B9F9615" w14:textId="3DB2DC06" w:rsidR="004701F4" w:rsidRDefault="004701F4" w:rsidP="004701F4">
      <w:pPr>
        <w:jc w:val="center"/>
        <w:rPr>
          <w:b/>
          <w:bCs/>
          <w:sz w:val="36"/>
          <w:szCs w:val="36"/>
          <w:lang w:val="en-GB"/>
        </w:rPr>
      </w:pPr>
      <w:r w:rsidRPr="004701F4">
        <w:rPr>
          <w:b/>
          <w:bCs/>
          <w:sz w:val="36"/>
          <w:szCs w:val="36"/>
          <w:lang w:val="en-GB"/>
        </w:rPr>
        <w:t>BRUSSELS FURNITURE FAIR 2023</w:t>
      </w:r>
      <w:r w:rsidR="00E12635">
        <w:rPr>
          <w:b/>
          <w:bCs/>
          <w:sz w:val="36"/>
          <w:szCs w:val="36"/>
          <w:lang w:val="en-GB"/>
        </w:rPr>
        <w:t xml:space="preserve"> </w:t>
      </w:r>
      <w:r w:rsidRPr="004701F4">
        <w:rPr>
          <w:b/>
          <w:bCs/>
          <w:sz w:val="36"/>
          <w:szCs w:val="36"/>
          <w:lang w:val="en-GB"/>
        </w:rPr>
        <w:t>– PRESS CONFERENCE</w:t>
      </w:r>
    </w:p>
    <w:p w14:paraId="6299A4F4" w14:textId="77777777" w:rsidR="004701F4" w:rsidRDefault="004701F4" w:rsidP="004701F4">
      <w:pPr>
        <w:jc w:val="center"/>
        <w:rPr>
          <w:b/>
          <w:bCs/>
          <w:sz w:val="36"/>
          <w:szCs w:val="36"/>
          <w:lang w:val="en-GB"/>
        </w:rPr>
      </w:pPr>
    </w:p>
    <w:p w14:paraId="744D7992" w14:textId="309ECD69" w:rsidR="004701F4" w:rsidRPr="00907013" w:rsidRDefault="004701F4" w:rsidP="004701F4">
      <w:pPr>
        <w:pStyle w:val="ListParagraph"/>
        <w:numPr>
          <w:ilvl w:val="0"/>
          <w:numId w:val="7"/>
        </w:numPr>
        <w:rPr>
          <w:b/>
          <w:bCs/>
          <w:lang w:val="nl-BE"/>
        </w:rPr>
      </w:pPr>
      <w:r>
        <w:rPr>
          <w:b/>
          <w:bCs/>
          <w:lang w:val="nl-BE"/>
        </w:rPr>
        <w:t>Introduction by</w:t>
      </w:r>
      <w:r w:rsidRPr="00907013">
        <w:rPr>
          <w:b/>
          <w:bCs/>
          <w:lang w:val="nl-BE"/>
        </w:rPr>
        <w:t xml:space="preserve"> Glenn De Maeseneer, </w:t>
      </w:r>
      <w:r>
        <w:rPr>
          <w:b/>
          <w:bCs/>
          <w:lang w:val="nl-BE"/>
        </w:rPr>
        <w:t>general manager</w:t>
      </w:r>
      <w:r w:rsidRPr="00907013">
        <w:rPr>
          <w:b/>
          <w:bCs/>
          <w:lang w:val="nl-BE"/>
        </w:rPr>
        <w:t xml:space="preserve"> Meubelbeurs Brussel</w:t>
      </w:r>
    </w:p>
    <w:p w14:paraId="5B3DBCFD" w14:textId="3DDCD3FC" w:rsidR="004701F4" w:rsidRPr="004701F4" w:rsidRDefault="004701F4" w:rsidP="004701F4">
      <w:pPr>
        <w:pStyle w:val="ListParagraph"/>
        <w:numPr>
          <w:ilvl w:val="0"/>
          <w:numId w:val="7"/>
        </w:numPr>
        <w:rPr>
          <w:b/>
          <w:bCs/>
          <w:lang w:val="en-GB"/>
        </w:rPr>
      </w:pPr>
      <w:r w:rsidRPr="004701F4">
        <w:rPr>
          <w:b/>
          <w:bCs/>
          <w:lang w:val="en-GB"/>
        </w:rPr>
        <w:t>Sectoral rep</w:t>
      </w:r>
      <w:r>
        <w:rPr>
          <w:b/>
          <w:bCs/>
          <w:lang w:val="en-GB"/>
        </w:rPr>
        <w:t>ort for</w:t>
      </w:r>
      <w:r w:rsidRPr="004701F4">
        <w:rPr>
          <w:b/>
          <w:bCs/>
          <w:lang w:val="en-GB"/>
        </w:rPr>
        <w:t xml:space="preserve"> 2023, presentation by Filip De Jaeger, COO Fedustria</w:t>
      </w:r>
    </w:p>
    <w:p w14:paraId="0BC6D8BF" w14:textId="77777777" w:rsidR="004701F4" w:rsidRPr="004701F4" w:rsidRDefault="004701F4" w:rsidP="004701F4">
      <w:pPr>
        <w:rPr>
          <w:b/>
          <w:bCs/>
          <w:lang w:val="en-GB"/>
        </w:rPr>
      </w:pPr>
    </w:p>
    <w:p w14:paraId="3F8F3B63" w14:textId="77777777" w:rsidR="004701F4" w:rsidRPr="00A65462" w:rsidRDefault="004701F4" w:rsidP="004701F4">
      <w:pPr>
        <w:pStyle w:val="Heading7"/>
        <w:pBdr>
          <w:top w:val="single" w:sz="4" w:space="1" w:color="auto"/>
          <w:left w:val="single" w:sz="4" w:space="1" w:color="auto"/>
          <w:bottom w:val="single" w:sz="4" w:space="1" w:color="auto"/>
          <w:right w:val="single" w:sz="4" w:space="1" w:color="auto"/>
        </w:pBdr>
        <w:jc w:val="center"/>
        <w:rPr>
          <w:rFonts w:asciiTheme="minorHAnsi" w:hAnsiTheme="minorHAnsi" w:cstheme="minorHAnsi"/>
          <w:b/>
          <w:i w:val="0"/>
          <w:noProof w:val="0"/>
          <w:color w:val="auto"/>
          <w:sz w:val="36"/>
          <w:szCs w:val="36"/>
        </w:rPr>
      </w:pPr>
      <w:r w:rsidRPr="00A65462">
        <w:rPr>
          <w:rFonts w:asciiTheme="minorHAnsi" w:hAnsiTheme="minorHAnsi"/>
          <w:b/>
          <w:i w:val="0"/>
          <w:noProof w:val="0"/>
          <w:color w:val="auto"/>
          <w:sz w:val="36"/>
        </w:rPr>
        <w:t xml:space="preserve">The Belgian furniture industry in 2023: </w:t>
      </w:r>
    </w:p>
    <w:p w14:paraId="74E6179C" w14:textId="77777777" w:rsidR="004701F4" w:rsidRPr="004701F4" w:rsidRDefault="004701F4" w:rsidP="004701F4">
      <w:pPr>
        <w:pBdr>
          <w:top w:val="single" w:sz="4" w:space="1" w:color="auto"/>
          <w:left w:val="single" w:sz="4" w:space="1" w:color="auto"/>
          <w:bottom w:val="single" w:sz="4" w:space="1" w:color="auto"/>
          <w:right w:val="single" w:sz="4" w:space="1" w:color="auto"/>
        </w:pBdr>
        <w:jc w:val="center"/>
        <w:rPr>
          <w:rFonts w:cstheme="minorHAnsi"/>
          <w:lang w:val="en-GB"/>
        </w:rPr>
      </w:pPr>
      <w:r w:rsidRPr="004701F4">
        <w:rPr>
          <w:b/>
          <w:sz w:val="36"/>
          <w:lang w:val="en-GB"/>
        </w:rPr>
        <w:t>Challenging market conditions</w:t>
      </w:r>
    </w:p>
    <w:p w14:paraId="3A24A2EC" w14:textId="77777777" w:rsidR="004701F4" w:rsidRPr="004701F4" w:rsidRDefault="004701F4" w:rsidP="004701F4">
      <w:pPr>
        <w:rPr>
          <w:rFonts w:cstheme="minorHAnsi"/>
          <w:lang w:val="en-GB"/>
        </w:rPr>
      </w:pPr>
    </w:p>
    <w:p w14:paraId="2A8B1D44" w14:textId="77777777" w:rsidR="004701F4" w:rsidRPr="004701F4" w:rsidRDefault="004701F4" w:rsidP="004701F4">
      <w:pPr>
        <w:rPr>
          <w:rFonts w:cstheme="minorHAnsi"/>
          <w:b/>
          <w:u w:val="single"/>
          <w:lang w:val="en-GB"/>
        </w:rPr>
      </w:pPr>
      <w:r w:rsidRPr="004701F4">
        <w:rPr>
          <w:b/>
          <w:u w:val="single"/>
          <w:lang w:val="en-GB"/>
        </w:rPr>
        <w:t>The Belgian furniture industry</w:t>
      </w:r>
    </w:p>
    <w:p w14:paraId="35EE71E6" w14:textId="77777777" w:rsidR="004701F4" w:rsidRPr="004701F4" w:rsidRDefault="004701F4" w:rsidP="004701F4">
      <w:pPr>
        <w:rPr>
          <w:rFonts w:cstheme="minorHAnsi"/>
          <w:lang w:val="en-GB"/>
        </w:rPr>
      </w:pPr>
    </w:p>
    <w:p w14:paraId="1794673D" w14:textId="77777777" w:rsidR="004701F4" w:rsidRPr="00A65462" w:rsidRDefault="004701F4" w:rsidP="004701F4">
      <w:pPr>
        <w:pBdr>
          <w:top w:val="single" w:sz="4" w:space="1" w:color="auto"/>
          <w:left w:val="single" w:sz="4" w:space="1" w:color="auto"/>
          <w:bottom w:val="single" w:sz="4" w:space="1" w:color="auto"/>
          <w:right w:val="single" w:sz="4" w:space="1" w:color="auto"/>
        </w:pBdr>
        <w:rPr>
          <w:b/>
          <w:bCs/>
        </w:rPr>
      </w:pPr>
      <w:r w:rsidRPr="00A65462">
        <w:rPr>
          <w:b/>
        </w:rPr>
        <w:t>Key figures (2022)</w:t>
      </w:r>
    </w:p>
    <w:p w14:paraId="33494B1B" w14:textId="77777777" w:rsidR="004701F4" w:rsidRPr="00A65462" w:rsidRDefault="004701F4" w:rsidP="004701F4">
      <w:pPr>
        <w:pBdr>
          <w:top w:val="single" w:sz="4" w:space="1" w:color="auto"/>
          <w:left w:val="single" w:sz="4" w:space="1" w:color="auto"/>
          <w:bottom w:val="single" w:sz="4" w:space="1" w:color="auto"/>
          <w:right w:val="single" w:sz="4" w:space="1" w:color="auto"/>
        </w:pBdr>
        <w:rPr>
          <w:rFonts w:cstheme="minorHAnsi"/>
          <w:b/>
          <w:sz w:val="14"/>
        </w:rPr>
      </w:pPr>
    </w:p>
    <w:p w14:paraId="1DD30A46" w14:textId="77777777" w:rsidR="004701F4" w:rsidRPr="00A65462" w:rsidRDefault="004701F4" w:rsidP="004701F4">
      <w:pPr>
        <w:pStyle w:val="ListParagraph"/>
        <w:numPr>
          <w:ilvl w:val="0"/>
          <w:numId w:val="22"/>
        </w:numPr>
        <w:pBdr>
          <w:top w:val="single" w:sz="4" w:space="1" w:color="auto"/>
          <w:left w:val="single" w:sz="4" w:space="1" w:color="auto"/>
          <w:bottom w:val="single" w:sz="4" w:space="1" w:color="auto"/>
          <w:right w:val="single" w:sz="4" w:space="1" w:color="auto"/>
        </w:pBdr>
        <w:spacing w:after="0" w:line="240" w:lineRule="auto"/>
        <w:ind w:left="284" w:hanging="284"/>
        <w:rPr>
          <w:b/>
          <w:bCs/>
        </w:rPr>
      </w:pPr>
      <w:r w:rsidRPr="00A65462">
        <w:rPr>
          <w:b/>
        </w:rPr>
        <w:t>722 companies</w:t>
      </w:r>
    </w:p>
    <w:p w14:paraId="443DF380" w14:textId="77777777" w:rsidR="004701F4" w:rsidRPr="00A65462" w:rsidRDefault="004701F4" w:rsidP="004701F4">
      <w:pPr>
        <w:pStyle w:val="ListParagraph"/>
        <w:numPr>
          <w:ilvl w:val="0"/>
          <w:numId w:val="22"/>
        </w:numPr>
        <w:pBdr>
          <w:top w:val="single" w:sz="4" w:space="1" w:color="auto"/>
          <w:left w:val="single" w:sz="4" w:space="1" w:color="auto"/>
          <w:bottom w:val="single" w:sz="4" w:space="1" w:color="auto"/>
          <w:right w:val="single" w:sz="4" w:space="1" w:color="auto"/>
        </w:pBdr>
        <w:spacing w:after="0" w:line="240" w:lineRule="auto"/>
        <w:ind w:left="284" w:hanging="284"/>
        <w:rPr>
          <w:rFonts w:cstheme="minorHAnsi"/>
          <w:b/>
        </w:rPr>
      </w:pPr>
      <w:r w:rsidRPr="00A65462">
        <w:rPr>
          <w:b/>
        </w:rPr>
        <w:t>9,763 employees</w:t>
      </w:r>
    </w:p>
    <w:p w14:paraId="17B347B3" w14:textId="77777777" w:rsidR="004701F4" w:rsidRPr="00A65462" w:rsidRDefault="004701F4" w:rsidP="004701F4">
      <w:pPr>
        <w:pStyle w:val="ListParagraph"/>
        <w:numPr>
          <w:ilvl w:val="0"/>
          <w:numId w:val="22"/>
        </w:numPr>
        <w:pBdr>
          <w:top w:val="single" w:sz="4" w:space="1" w:color="auto"/>
          <w:left w:val="single" w:sz="4" w:space="1" w:color="auto"/>
          <w:bottom w:val="single" w:sz="4" w:space="1" w:color="auto"/>
          <w:right w:val="single" w:sz="4" w:space="1" w:color="auto"/>
        </w:pBdr>
        <w:spacing w:after="0" w:line="240" w:lineRule="auto"/>
        <w:ind w:left="284" w:hanging="284"/>
        <w:rPr>
          <w:rFonts w:cstheme="minorHAnsi"/>
          <w:b/>
        </w:rPr>
      </w:pPr>
      <w:r w:rsidRPr="00A65462">
        <w:rPr>
          <w:b/>
        </w:rPr>
        <w:t>Turnover: 2.3 billion euros</w:t>
      </w:r>
    </w:p>
    <w:p w14:paraId="53D25B78" w14:textId="77777777" w:rsidR="004701F4" w:rsidRPr="004701F4" w:rsidRDefault="004701F4" w:rsidP="004701F4">
      <w:pPr>
        <w:pStyle w:val="ListParagraph"/>
        <w:numPr>
          <w:ilvl w:val="0"/>
          <w:numId w:val="22"/>
        </w:numPr>
        <w:pBdr>
          <w:top w:val="single" w:sz="4" w:space="1" w:color="auto"/>
          <w:left w:val="single" w:sz="4" w:space="1" w:color="auto"/>
          <w:bottom w:val="single" w:sz="4" w:space="1" w:color="auto"/>
          <w:right w:val="single" w:sz="4" w:space="1" w:color="auto"/>
        </w:pBdr>
        <w:spacing w:after="0" w:line="240" w:lineRule="auto"/>
        <w:ind w:left="284" w:hanging="284"/>
        <w:rPr>
          <w:rFonts w:cstheme="minorHAnsi"/>
          <w:b/>
          <w:lang w:val="en-GB"/>
        </w:rPr>
      </w:pPr>
      <w:r w:rsidRPr="004701F4">
        <w:rPr>
          <w:b/>
          <w:lang w:val="en-GB"/>
        </w:rPr>
        <w:t>Change in activity by volume: -14%</w:t>
      </w:r>
    </w:p>
    <w:p w14:paraId="480BE256" w14:textId="77777777" w:rsidR="004701F4" w:rsidRPr="00A65462" w:rsidRDefault="004701F4" w:rsidP="004701F4">
      <w:pPr>
        <w:pStyle w:val="ListParagraph"/>
        <w:numPr>
          <w:ilvl w:val="0"/>
          <w:numId w:val="22"/>
        </w:numPr>
        <w:pBdr>
          <w:top w:val="single" w:sz="4" w:space="1" w:color="auto"/>
          <w:left w:val="single" w:sz="4" w:space="1" w:color="auto"/>
          <w:bottom w:val="single" w:sz="4" w:space="1" w:color="auto"/>
          <w:right w:val="single" w:sz="4" w:space="1" w:color="auto"/>
        </w:pBdr>
        <w:spacing w:after="0" w:line="240" w:lineRule="auto"/>
        <w:ind w:left="284" w:hanging="284"/>
        <w:rPr>
          <w:rFonts w:cstheme="minorHAnsi"/>
          <w:b/>
        </w:rPr>
      </w:pPr>
      <w:r w:rsidRPr="00A65462">
        <w:rPr>
          <w:b/>
        </w:rPr>
        <w:t>Export share: 57%</w:t>
      </w:r>
    </w:p>
    <w:p w14:paraId="0AF6CB9F" w14:textId="77777777" w:rsidR="004701F4" w:rsidRPr="004701F4" w:rsidRDefault="004701F4" w:rsidP="004701F4">
      <w:pPr>
        <w:pStyle w:val="ListParagraph"/>
        <w:numPr>
          <w:ilvl w:val="0"/>
          <w:numId w:val="22"/>
        </w:numPr>
        <w:pBdr>
          <w:top w:val="single" w:sz="4" w:space="1" w:color="auto"/>
          <w:left w:val="single" w:sz="4" w:space="1" w:color="auto"/>
          <w:bottom w:val="single" w:sz="4" w:space="1" w:color="auto"/>
          <w:right w:val="single" w:sz="4" w:space="1" w:color="auto"/>
        </w:pBdr>
        <w:spacing w:after="0" w:line="240" w:lineRule="auto"/>
        <w:ind w:left="284" w:hanging="284"/>
        <w:rPr>
          <w:rFonts w:cstheme="minorHAnsi"/>
          <w:b/>
          <w:lang w:val="en-GB"/>
        </w:rPr>
      </w:pPr>
      <w:r w:rsidRPr="004701F4">
        <w:rPr>
          <w:b/>
          <w:lang w:val="en-GB"/>
        </w:rPr>
        <w:t>Share in total turnover of the Belgian woodworking and furniture industry: 33%</w:t>
      </w:r>
    </w:p>
    <w:p w14:paraId="38EE4617" w14:textId="77777777" w:rsidR="004701F4" w:rsidRPr="004701F4" w:rsidRDefault="004701F4" w:rsidP="004701F4">
      <w:pPr>
        <w:pBdr>
          <w:top w:val="single" w:sz="4" w:space="1" w:color="auto"/>
          <w:left w:val="single" w:sz="4" w:space="1" w:color="auto"/>
          <w:bottom w:val="single" w:sz="4" w:space="1" w:color="auto"/>
          <w:right w:val="single" w:sz="4" w:space="1" w:color="auto"/>
        </w:pBdr>
        <w:rPr>
          <w:rFonts w:cstheme="minorHAnsi"/>
          <w:sz w:val="10"/>
          <w:szCs w:val="10"/>
          <w:lang w:val="en-GB"/>
        </w:rPr>
      </w:pPr>
    </w:p>
    <w:p w14:paraId="2803A418" w14:textId="77777777" w:rsidR="004701F4" w:rsidRPr="004701F4" w:rsidRDefault="004701F4" w:rsidP="004701F4">
      <w:pPr>
        <w:tabs>
          <w:tab w:val="left" w:pos="-828"/>
          <w:tab w:val="left" w:pos="4253"/>
        </w:tabs>
        <w:suppressAutoHyphens/>
        <w:jc w:val="both"/>
        <w:rPr>
          <w:rFonts w:cstheme="minorHAnsi"/>
          <w:spacing w:val="-3"/>
          <w:lang w:val="en-GB"/>
        </w:rPr>
      </w:pPr>
    </w:p>
    <w:p w14:paraId="2EBAE7FD" w14:textId="77777777" w:rsidR="004701F4" w:rsidRPr="004701F4" w:rsidRDefault="004701F4" w:rsidP="004701F4">
      <w:pPr>
        <w:tabs>
          <w:tab w:val="left" w:pos="-828"/>
          <w:tab w:val="left" w:pos="4253"/>
        </w:tabs>
        <w:suppressAutoHyphens/>
        <w:jc w:val="both"/>
        <w:rPr>
          <w:rFonts w:cstheme="minorHAnsi"/>
          <w:b/>
          <w:spacing w:val="-3"/>
          <w:u w:val="single"/>
          <w:lang w:val="en-GB"/>
        </w:rPr>
      </w:pPr>
      <w:r w:rsidRPr="004701F4">
        <w:rPr>
          <w:b/>
          <w:spacing w:val="-3"/>
          <w:u w:val="single"/>
          <w:lang w:val="en-GB"/>
        </w:rPr>
        <w:t>Summary of developments in the first half of 2023</w:t>
      </w:r>
    </w:p>
    <w:p w14:paraId="5362A263" w14:textId="77777777" w:rsidR="004701F4" w:rsidRPr="004701F4" w:rsidRDefault="004701F4" w:rsidP="004701F4">
      <w:pPr>
        <w:tabs>
          <w:tab w:val="left" w:pos="-828"/>
          <w:tab w:val="left" w:pos="4253"/>
        </w:tabs>
        <w:suppressAutoHyphens/>
        <w:jc w:val="both"/>
        <w:rPr>
          <w:rFonts w:cstheme="minorHAnsi"/>
          <w:spacing w:val="-3"/>
          <w:lang w:val="en-GB"/>
        </w:rPr>
      </w:pPr>
    </w:p>
    <w:p w14:paraId="09FC82C4" w14:textId="77777777" w:rsidR="004701F4" w:rsidRPr="004701F4" w:rsidRDefault="004701F4" w:rsidP="004701F4">
      <w:pPr>
        <w:pStyle w:val="ListParagraph"/>
        <w:numPr>
          <w:ilvl w:val="0"/>
          <w:numId w:val="23"/>
        </w:numPr>
        <w:tabs>
          <w:tab w:val="left" w:pos="4253"/>
        </w:tabs>
        <w:suppressAutoHyphens/>
        <w:spacing w:after="0" w:line="240" w:lineRule="auto"/>
        <w:ind w:left="284" w:hanging="284"/>
        <w:jc w:val="both"/>
        <w:rPr>
          <w:spacing w:val="-3"/>
          <w:lang w:val="en-GB"/>
        </w:rPr>
      </w:pPr>
      <w:r w:rsidRPr="004701F4">
        <w:rPr>
          <w:spacing w:val="-3"/>
          <w:lang w:val="en-GB"/>
        </w:rPr>
        <w:t xml:space="preserve">Turnover: EUR 1.106 billion, -5.6% compared with the first half of 2022. Real decrease in volume by 11.8% due to 6.2% increase in output prices </w:t>
      </w:r>
    </w:p>
    <w:p w14:paraId="373141AA" w14:textId="77777777" w:rsidR="004701F4" w:rsidRPr="00A65462" w:rsidRDefault="004701F4" w:rsidP="004701F4">
      <w:pPr>
        <w:pStyle w:val="ListParagraph"/>
        <w:numPr>
          <w:ilvl w:val="0"/>
          <w:numId w:val="23"/>
        </w:numPr>
        <w:tabs>
          <w:tab w:val="left" w:pos="-828"/>
          <w:tab w:val="left" w:pos="4253"/>
        </w:tabs>
        <w:suppressAutoHyphens/>
        <w:spacing w:after="0" w:line="240" w:lineRule="auto"/>
        <w:ind w:left="284" w:hanging="284"/>
        <w:jc w:val="both"/>
        <w:rPr>
          <w:rFonts w:cstheme="minorHAnsi"/>
          <w:spacing w:val="-3"/>
        </w:rPr>
      </w:pPr>
      <w:r w:rsidRPr="00A65462">
        <w:rPr>
          <w:spacing w:val="-3"/>
        </w:rPr>
        <w:t>Investments: EUR 48.2 million (+30.6%)</w:t>
      </w:r>
    </w:p>
    <w:p w14:paraId="77B0F3E4" w14:textId="77777777" w:rsidR="004701F4" w:rsidRPr="00A65462" w:rsidRDefault="004701F4" w:rsidP="004701F4">
      <w:pPr>
        <w:pStyle w:val="ListParagraph"/>
        <w:numPr>
          <w:ilvl w:val="0"/>
          <w:numId w:val="23"/>
        </w:numPr>
        <w:tabs>
          <w:tab w:val="left" w:pos="-828"/>
          <w:tab w:val="left" w:pos="4253"/>
        </w:tabs>
        <w:suppressAutoHyphens/>
        <w:spacing w:after="0" w:line="240" w:lineRule="auto"/>
        <w:ind w:left="284" w:hanging="284"/>
        <w:jc w:val="both"/>
        <w:rPr>
          <w:rFonts w:cstheme="minorHAnsi"/>
          <w:spacing w:val="-3"/>
        </w:rPr>
      </w:pPr>
      <w:r w:rsidRPr="00A65462">
        <w:rPr>
          <w:spacing w:val="-3"/>
        </w:rPr>
        <w:t xml:space="preserve">Production capacity utilisation rate: 74.2% </w:t>
      </w:r>
    </w:p>
    <w:p w14:paraId="5A896990" w14:textId="77777777" w:rsidR="004701F4" w:rsidRPr="004701F4" w:rsidRDefault="004701F4" w:rsidP="004701F4">
      <w:pPr>
        <w:pStyle w:val="ListParagraph"/>
        <w:numPr>
          <w:ilvl w:val="0"/>
          <w:numId w:val="23"/>
        </w:numPr>
        <w:tabs>
          <w:tab w:val="left" w:pos="4253"/>
        </w:tabs>
        <w:suppressAutoHyphens/>
        <w:spacing w:after="0" w:line="240" w:lineRule="auto"/>
        <w:ind w:left="284" w:hanging="284"/>
        <w:jc w:val="both"/>
        <w:rPr>
          <w:lang w:val="en-GB"/>
        </w:rPr>
      </w:pPr>
      <w:r w:rsidRPr="004701F4">
        <w:rPr>
          <w:spacing w:val="-3"/>
          <w:lang w:val="en-GB"/>
        </w:rPr>
        <w:t>Exports: -12.2% compared with the same period in 2022. France, the Netherlands and Germany have seen a sharp downturn but remain the major sales markets</w:t>
      </w:r>
    </w:p>
    <w:p w14:paraId="64A39D57" w14:textId="77777777" w:rsidR="004701F4" w:rsidRPr="004701F4" w:rsidRDefault="004701F4" w:rsidP="004701F4">
      <w:pPr>
        <w:pStyle w:val="ListParagraph"/>
        <w:numPr>
          <w:ilvl w:val="0"/>
          <w:numId w:val="23"/>
        </w:numPr>
        <w:tabs>
          <w:tab w:val="left" w:pos="4253"/>
        </w:tabs>
        <w:suppressAutoHyphens/>
        <w:spacing w:after="0" w:line="240" w:lineRule="auto"/>
        <w:ind w:left="284" w:hanging="284"/>
        <w:jc w:val="both"/>
        <w:rPr>
          <w:lang w:val="en-GB"/>
        </w:rPr>
      </w:pPr>
      <w:r w:rsidRPr="004701F4">
        <w:rPr>
          <w:spacing w:val="-3"/>
          <w:lang w:val="en-GB"/>
        </w:rPr>
        <w:t>Imports: -17.4% compared with the same period in 2022</w:t>
      </w:r>
    </w:p>
    <w:p w14:paraId="73D7FF40" w14:textId="77777777" w:rsidR="004701F4" w:rsidRPr="004701F4" w:rsidRDefault="004701F4" w:rsidP="004701F4">
      <w:pPr>
        <w:jc w:val="both"/>
        <w:rPr>
          <w:rFonts w:cstheme="minorHAnsi"/>
          <w:b/>
          <w:bCs/>
          <w:u w:val="single"/>
          <w:lang w:val="en-GB"/>
        </w:rPr>
      </w:pPr>
    </w:p>
    <w:p w14:paraId="406822A0" w14:textId="77777777" w:rsidR="004701F4" w:rsidRPr="004701F4" w:rsidRDefault="004701F4" w:rsidP="004701F4">
      <w:pPr>
        <w:jc w:val="both"/>
        <w:rPr>
          <w:rFonts w:cstheme="minorHAnsi"/>
          <w:b/>
          <w:bCs/>
          <w:u w:val="single"/>
          <w:lang w:val="en-GB"/>
        </w:rPr>
      </w:pPr>
      <w:r w:rsidRPr="004701F4">
        <w:rPr>
          <w:b/>
          <w:u w:val="single"/>
          <w:lang w:val="en-GB"/>
        </w:rPr>
        <w:lastRenderedPageBreak/>
        <w:t>General context</w:t>
      </w:r>
    </w:p>
    <w:p w14:paraId="76052F03" w14:textId="77777777" w:rsidR="004701F4" w:rsidRPr="004701F4" w:rsidRDefault="004701F4" w:rsidP="004701F4">
      <w:pPr>
        <w:jc w:val="both"/>
        <w:rPr>
          <w:rFonts w:cstheme="minorHAnsi"/>
          <w:bCs/>
          <w:lang w:val="en-GB"/>
        </w:rPr>
      </w:pPr>
    </w:p>
    <w:p w14:paraId="3FE96C98" w14:textId="77777777" w:rsidR="004701F4" w:rsidRPr="004701F4" w:rsidRDefault="004701F4" w:rsidP="004701F4">
      <w:pPr>
        <w:jc w:val="both"/>
        <w:rPr>
          <w:lang w:val="en-GB"/>
        </w:rPr>
      </w:pPr>
      <w:r w:rsidRPr="004701F4">
        <w:rPr>
          <w:lang w:val="en-GB"/>
        </w:rPr>
        <w:t>Since the second half of 2022, the Belgian furniture industry has seen falling demand both on the domestic and international markets. The sharp rise in inflation, higher costs for energy and raw materials, and an uncertain future as a result of geopolitical developments have damaged consumer confidence. The perfect storm that we predicted last year has since developed into a veritable hurricane in 2023.</w:t>
      </w:r>
    </w:p>
    <w:p w14:paraId="78F7C946" w14:textId="77777777" w:rsidR="004701F4" w:rsidRPr="004701F4" w:rsidRDefault="004701F4" w:rsidP="004701F4">
      <w:pPr>
        <w:jc w:val="both"/>
        <w:rPr>
          <w:lang w:val="en-GB"/>
        </w:rPr>
      </w:pPr>
    </w:p>
    <w:p w14:paraId="54F17C43" w14:textId="77777777" w:rsidR="004701F4" w:rsidRPr="004701F4" w:rsidRDefault="004701F4" w:rsidP="004701F4">
      <w:pPr>
        <w:jc w:val="both"/>
        <w:rPr>
          <w:lang w:val="en-GB"/>
        </w:rPr>
      </w:pPr>
      <w:r w:rsidRPr="004701F4">
        <w:rPr>
          <w:lang w:val="en-GB"/>
        </w:rPr>
        <w:t>What is more, following the coronavirus pandemic, many consumers chose to spend their available family budget (again) on leisure (travel, hospitality) rather than on decorating their homes, which had been given the necessary attention during the pandemic and this had boosted the sector considerably.</w:t>
      </w:r>
    </w:p>
    <w:p w14:paraId="4F38FDAA" w14:textId="77777777" w:rsidR="004701F4" w:rsidRPr="004701F4" w:rsidRDefault="004701F4" w:rsidP="004701F4">
      <w:pPr>
        <w:jc w:val="both"/>
        <w:rPr>
          <w:lang w:val="en-GB"/>
        </w:rPr>
      </w:pPr>
    </w:p>
    <w:p w14:paraId="58684F1A" w14:textId="77777777" w:rsidR="004701F4" w:rsidRPr="004701F4" w:rsidRDefault="004701F4" w:rsidP="004701F4">
      <w:pPr>
        <w:jc w:val="both"/>
        <w:rPr>
          <w:lang w:val="en-GB"/>
        </w:rPr>
      </w:pPr>
      <w:r w:rsidRPr="004701F4">
        <w:rPr>
          <w:lang w:val="en-GB"/>
        </w:rPr>
        <w:t>Notwithstanding the government's measures to support consumers via the energy allowance, coupled with Belgium's familiar principle of automatic wage indexation (which ensured a good 16% wage increase in 2021/2022) to maintain buying power, there has been no turning the tide in 2023. On the contrary: demand has remained low, including in construction, and a similar situation can be seen in neighbouring countries or on export markets. The furniture sector is therefore in turbulent times and the initial negative impact has already manifested itself, with insolvencies on the production side and store closures on the retail side. The sector has now set its sights on 2024, which will hopefully see a revival in fortunes.</w:t>
      </w:r>
    </w:p>
    <w:p w14:paraId="34AF8B50" w14:textId="77777777" w:rsidR="004701F4" w:rsidRPr="004701F4" w:rsidRDefault="004701F4" w:rsidP="004701F4">
      <w:pPr>
        <w:rPr>
          <w:rFonts w:cstheme="minorHAnsi"/>
          <w:bCs/>
          <w:lang w:val="en-GB"/>
        </w:rPr>
      </w:pPr>
    </w:p>
    <w:p w14:paraId="4D8040FF" w14:textId="77777777" w:rsidR="004701F4" w:rsidRPr="004701F4" w:rsidRDefault="004701F4" w:rsidP="004701F4">
      <w:pPr>
        <w:jc w:val="both"/>
        <w:rPr>
          <w:rFonts w:cstheme="minorHAnsi"/>
          <w:bCs/>
          <w:lang w:val="en-GB"/>
        </w:rPr>
      </w:pPr>
    </w:p>
    <w:p w14:paraId="4C4A54AC" w14:textId="77777777" w:rsidR="004701F4" w:rsidRPr="00A65462" w:rsidRDefault="004701F4" w:rsidP="004701F4">
      <w:pPr>
        <w:pStyle w:val="BodyText"/>
        <w:rPr>
          <w:rFonts w:asciiTheme="minorHAnsi" w:hAnsiTheme="minorHAnsi" w:cstheme="minorBidi"/>
          <w:b/>
          <w:bCs/>
          <w:noProof w:val="0"/>
          <w:u w:val="single"/>
        </w:rPr>
      </w:pPr>
      <w:r w:rsidRPr="00A65462">
        <w:rPr>
          <w:rFonts w:asciiTheme="minorHAnsi" w:hAnsiTheme="minorHAnsi"/>
          <w:b/>
          <w:noProof w:val="0"/>
          <w:u w:val="single"/>
        </w:rPr>
        <w:t>First six months of 2023: Turnover fell both in value and volume</w:t>
      </w:r>
    </w:p>
    <w:p w14:paraId="5A9F22C0" w14:textId="77777777" w:rsidR="004701F4" w:rsidRPr="00A65462" w:rsidRDefault="004701F4" w:rsidP="004701F4">
      <w:pPr>
        <w:pStyle w:val="BodyText"/>
        <w:rPr>
          <w:rFonts w:asciiTheme="minorHAnsi" w:hAnsiTheme="minorHAnsi" w:cstheme="minorHAnsi"/>
          <w:noProof w:val="0"/>
          <w:szCs w:val="22"/>
        </w:rPr>
      </w:pPr>
    </w:p>
    <w:tbl>
      <w:tblPr>
        <w:tblW w:w="10453" w:type="dxa"/>
        <w:tblInd w:w="-572" w:type="dxa"/>
        <w:tblLayout w:type="fixed"/>
        <w:tblCellMar>
          <w:left w:w="70" w:type="dxa"/>
          <w:right w:w="70" w:type="dxa"/>
        </w:tblCellMar>
        <w:tblLook w:val="04A0" w:firstRow="1" w:lastRow="0" w:firstColumn="1" w:lastColumn="0" w:noHBand="0" w:noVBand="1"/>
      </w:tblPr>
      <w:tblGrid>
        <w:gridCol w:w="2835"/>
        <w:gridCol w:w="952"/>
        <w:gridCol w:w="952"/>
        <w:gridCol w:w="952"/>
        <w:gridCol w:w="953"/>
        <w:gridCol w:w="952"/>
        <w:gridCol w:w="952"/>
        <w:gridCol w:w="952"/>
        <w:gridCol w:w="953"/>
      </w:tblGrid>
      <w:tr w:rsidR="004701F4" w:rsidRPr="00A65462" w14:paraId="148CB0B7" w14:textId="77777777" w:rsidTr="005621E7">
        <w:trPr>
          <w:trHeight w:val="420"/>
        </w:trPr>
        <w:tc>
          <w:tcPr>
            <w:tcW w:w="8548" w:type="dxa"/>
            <w:gridSpan w:val="7"/>
            <w:tcBorders>
              <w:top w:val="single" w:sz="4" w:space="0" w:color="auto"/>
              <w:left w:val="single" w:sz="4" w:space="0" w:color="auto"/>
              <w:bottom w:val="single" w:sz="4" w:space="0" w:color="auto"/>
              <w:right w:val="single" w:sz="4" w:space="0" w:color="auto"/>
            </w:tcBorders>
            <w:shd w:val="clear" w:color="auto" w:fill="FFC000"/>
            <w:noWrap/>
            <w:vAlign w:val="center"/>
          </w:tcPr>
          <w:p w14:paraId="2604F88B" w14:textId="77777777" w:rsidR="004701F4" w:rsidRPr="004701F4" w:rsidRDefault="004701F4" w:rsidP="005621E7">
            <w:pPr>
              <w:jc w:val="center"/>
              <w:rPr>
                <w:rFonts w:cstheme="minorHAnsi"/>
                <w:b/>
                <w:bCs/>
                <w:color w:val="000000"/>
                <w:lang w:val="en-GB"/>
              </w:rPr>
            </w:pPr>
            <w:r w:rsidRPr="004701F4">
              <w:rPr>
                <w:b/>
                <w:color w:val="000000"/>
                <w:lang w:val="en-GB"/>
              </w:rPr>
              <w:t>Turnover Development in the Belgian Furniture Industry</w:t>
            </w:r>
          </w:p>
        </w:tc>
        <w:tc>
          <w:tcPr>
            <w:tcW w:w="952" w:type="dxa"/>
            <w:tcBorders>
              <w:top w:val="single" w:sz="4" w:space="0" w:color="auto"/>
              <w:left w:val="single" w:sz="12" w:space="0" w:color="auto"/>
              <w:bottom w:val="single" w:sz="4" w:space="0" w:color="auto"/>
              <w:right w:val="single" w:sz="4" w:space="0" w:color="auto"/>
            </w:tcBorders>
            <w:shd w:val="clear" w:color="auto" w:fill="FFC000"/>
            <w:noWrap/>
            <w:vAlign w:val="center"/>
          </w:tcPr>
          <w:p w14:paraId="27BFA957" w14:textId="77777777" w:rsidR="004701F4" w:rsidRPr="00A65462" w:rsidRDefault="004701F4" w:rsidP="005621E7">
            <w:pPr>
              <w:jc w:val="center"/>
              <w:rPr>
                <w:rFonts w:cstheme="minorHAnsi"/>
                <w:b/>
                <w:bCs/>
                <w:color w:val="000000"/>
              </w:rPr>
            </w:pPr>
            <w:r w:rsidRPr="00A65462">
              <w:rPr>
                <w:b/>
                <w:color w:val="000000"/>
              </w:rPr>
              <w:t>Sales prices</w:t>
            </w:r>
          </w:p>
        </w:tc>
        <w:tc>
          <w:tcPr>
            <w:tcW w:w="953" w:type="dxa"/>
            <w:tcBorders>
              <w:top w:val="single" w:sz="4" w:space="0" w:color="auto"/>
              <w:left w:val="single" w:sz="12" w:space="0" w:color="auto"/>
              <w:bottom w:val="single" w:sz="4" w:space="0" w:color="auto"/>
              <w:right w:val="single" w:sz="4" w:space="0" w:color="auto"/>
            </w:tcBorders>
            <w:shd w:val="clear" w:color="auto" w:fill="FFC000"/>
            <w:noWrap/>
            <w:vAlign w:val="center"/>
          </w:tcPr>
          <w:p w14:paraId="7ED034F6" w14:textId="77777777" w:rsidR="004701F4" w:rsidRPr="00A65462" w:rsidRDefault="004701F4" w:rsidP="005621E7">
            <w:pPr>
              <w:jc w:val="center"/>
              <w:rPr>
                <w:rFonts w:cstheme="minorHAnsi"/>
                <w:b/>
                <w:bCs/>
                <w:color w:val="000000"/>
              </w:rPr>
            </w:pPr>
            <w:r w:rsidRPr="00A65462">
              <w:rPr>
                <w:b/>
                <w:color w:val="000000"/>
              </w:rPr>
              <w:t>Turnover in volume</w:t>
            </w:r>
          </w:p>
        </w:tc>
      </w:tr>
      <w:tr w:rsidR="004701F4" w:rsidRPr="00A65462" w14:paraId="1C81FE23" w14:textId="77777777" w:rsidTr="005621E7">
        <w:trPr>
          <w:trHeight w:val="420"/>
        </w:trPr>
        <w:tc>
          <w:tcPr>
            <w:tcW w:w="283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4640CF5" w14:textId="77777777" w:rsidR="004701F4" w:rsidRPr="00A65462" w:rsidRDefault="004701F4" w:rsidP="005621E7">
            <w:pPr>
              <w:jc w:val="center"/>
              <w:rPr>
                <w:rFonts w:cstheme="minorHAnsi"/>
                <w:b/>
                <w:bCs/>
                <w:color w:val="000000"/>
              </w:rPr>
            </w:pPr>
            <w:r w:rsidRPr="00A65462">
              <w:rPr>
                <w:b/>
                <w:color w:val="000000"/>
              </w:rPr>
              <w:t>In EUR millions</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3D5200D9" w14:textId="77777777" w:rsidR="004701F4" w:rsidRPr="00A65462" w:rsidRDefault="004701F4" w:rsidP="005621E7">
            <w:pPr>
              <w:jc w:val="center"/>
              <w:rPr>
                <w:rFonts w:cstheme="minorHAnsi"/>
                <w:b/>
                <w:bCs/>
                <w:color w:val="000000"/>
              </w:rPr>
            </w:pPr>
            <w:r w:rsidRPr="00A65462">
              <w:rPr>
                <w:b/>
                <w:color w:val="000000"/>
              </w:rPr>
              <w:t>2021</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0DF769C4" w14:textId="77777777" w:rsidR="004701F4" w:rsidRPr="00A65462" w:rsidRDefault="004701F4" w:rsidP="005621E7">
            <w:pPr>
              <w:jc w:val="center"/>
              <w:rPr>
                <w:rFonts w:cstheme="minorHAnsi"/>
                <w:b/>
                <w:bCs/>
                <w:color w:val="000000"/>
              </w:rPr>
            </w:pPr>
            <w:r w:rsidRPr="00A65462">
              <w:rPr>
                <w:b/>
                <w:color w:val="000000"/>
              </w:rPr>
              <w:t>2022</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67A12B04" w14:textId="77777777" w:rsidR="004701F4" w:rsidRPr="00A65462" w:rsidRDefault="004701F4" w:rsidP="005621E7">
            <w:pPr>
              <w:jc w:val="center"/>
              <w:rPr>
                <w:rFonts w:cstheme="minorHAnsi"/>
                <w:b/>
                <w:bCs/>
                <w:color w:val="000000"/>
              </w:rPr>
            </w:pPr>
            <w:r w:rsidRPr="00A65462">
              <w:rPr>
                <w:b/>
                <w:color w:val="000000"/>
              </w:rPr>
              <w:t>'22/'21</w:t>
            </w:r>
          </w:p>
        </w:tc>
        <w:tc>
          <w:tcPr>
            <w:tcW w:w="953" w:type="dxa"/>
            <w:tcBorders>
              <w:top w:val="single" w:sz="4" w:space="0" w:color="auto"/>
              <w:left w:val="nil"/>
              <w:bottom w:val="single" w:sz="4" w:space="0" w:color="auto"/>
              <w:right w:val="single" w:sz="4" w:space="0" w:color="auto"/>
            </w:tcBorders>
            <w:shd w:val="clear" w:color="auto" w:fill="FFC000"/>
            <w:noWrap/>
            <w:vAlign w:val="center"/>
            <w:hideMark/>
          </w:tcPr>
          <w:p w14:paraId="2CFC15BE" w14:textId="77777777" w:rsidR="004701F4" w:rsidRPr="00A65462" w:rsidRDefault="004701F4" w:rsidP="005621E7">
            <w:pPr>
              <w:jc w:val="center"/>
              <w:rPr>
                <w:rFonts w:cstheme="minorHAnsi"/>
                <w:b/>
                <w:bCs/>
                <w:color w:val="000000"/>
              </w:rPr>
            </w:pPr>
            <w:r w:rsidRPr="00A65462">
              <w:rPr>
                <w:rFonts w:ascii="Calibri" w:hAnsi="Calibri"/>
                <w:b/>
                <w:color w:val="000000"/>
              </w:rPr>
              <w:t xml:space="preserve">6 m 2022 </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5DDAD2F8" w14:textId="77777777" w:rsidR="004701F4" w:rsidRPr="00A65462" w:rsidRDefault="004701F4" w:rsidP="005621E7">
            <w:pPr>
              <w:jc w:val="center"/>
              <w:rPr>
                <w:b/>
                <w:bCs/>
                <w:color w:val="000000"/>
              </w:rPr>
            </w:pPr>
            <w:r w:rsidRPr="00A65462">
              <w:rPr>
                <w:rFonts w:ascii="Calibri" w:hAnsi="Calibri"/>
                <w:b/>
                <w:color w:val="000000" w:themeColor="text1"/>
              </w:rPr>
              <w:t>6 m 2023*</w:t>
            </w:r>
          </w:p>
        </w:tc>
        <w:tc>
          <w:tcPr>
            <w:tcW w:w="952" w:type="dxa"/>
            <w:tcBorders>
              <w:top w:val="single" w:sz="4" w:space="0" w:color="auto"/>
              <w:left w:val="nil"/>
              <w:bottom w:val="single" w:sz="4" w:space="0" w:color="auto"/>
              <w:right w:val="nil"/>
            </w:tcBorders>
            <w:shd w:val="clear" w:color="auto" w:fill="FFC000"/>
            <w:noWrap/>
            <w:vAlign w:val="center"/>
            <w:hideMark/>
          </w:tcPr>
          <w:p w14:paraId="2EDC4FBC" w14:textId="77777777" w:rsidR="004701F4" w:rsidRPr="00A65462" w:rsidRDefault="004701F4" w:rsidP="005621E7">
            <w:pPr>
              <w:jc w:val="center"/>
              <w:rPr>
                <w:rFonts w:cstheme="minorHAnsi"/>
                <w:b/>
                <w:bCs/>
                <w:color w:val="000000"/>
              </w:rPr>
            </w:pPr>
            <w:r w:rsidRPr="00A65462">
              <w:rPr>
                <w:rFonts w:ascii="Calibri" w:hAnsi="Calibri"/>
                <w:b/>
                <w:color w:val="000000"/>
              </w:rPr>
              <w:t>6 m '23/'22</w:t>
            </w:r>
          </w:p>
        </w:tc>
        <w:tc>
          <w:tcPr>
            <w:tcW w:w="952" w:type="dxa"/>
            <w:tcBorders>
              <w:top w:val="single" w:sz="4" w:space="0" w:color="auto"/>
              <w:left w:val="single" w:sz="12" w:space="0" w:color="auto"/>
              <w:bottom w:val="single" w:sz="4" w:space="0" w:color="auto"/>
              <w:right w:val="single" w:sz="4" w:space="0" w:color="auto"/>
            </w:tcBorders>
            <w:shd w:val="clear" w:color="auto" w:fill="FFC000"/>
            <w:noWrap/>
            <w:vAlign w:val="center"/>
            <w:hideMark/>
          </w:tcPr>
          <w:p w14:paraId="54EB9864" w14:textId="77777777" w:rsidR="004701F4" w:rsidRPr="00A65462" w:rsidRDefault="004701F4" w:rsidP="005621E7">
            <w:pPr>
              <w:jc w:val="center"/>
              <w:rPr>
                <w:rFonts w:ascii="Calibri" w:hAnsi="Calibri" w:cs="Calibri"/>
                <w:b/>
                <w:bCs/>
                <w:color w:val="000000"/>
              </w:rPr>
            </w:pPr>
            <w:r w:rsidRPr="00A65462">
              <w:rPr>
                <w:rFonts w:ascii="Calibri" w:hAnsi="Calibri"/>
                <w:b/>
                <w:color w:val="000000"/>
              </w:rPr>
              <w:t>6 m '23/'22</w:t>
            </w:r>
          </w:p>
        </w:tc>
        <w:tc>
          <w:tcPr>
            <w:tcW w:w="953" w:type="dxa"/>
            <w:tcBorders>
              <w:top w:val="single" w:sz="4" w:space="0" w:color="auto"/>
              <w:left w:val="single" w:sz="12" w:space="0" w:color="auto"/>
              <w:bottom w:val="single" w:sz="4" w:space="0" w:color="auto"/>
              <w:right w:val="single" w:sz="4" w:space="0" w:color="auto"/>
            </w:tcBorders>
            <w:shd w:val="clear" w:color="auto" w:fill="FFC000"/>
            <w:noWrap/>
            <w:vAlign w:val="center"/>
            <w:hideMark/>
          </w:tcPr>
          <w:p w14:paraId="6D421DE6" w14:textId="77777777" w:rsidR="004701F4" w:rsidRPr="00A65462" w:rsidRDefault="004701F4" w:rsidP="005621E7">
            <w:pPr>
              <w:jc w:val="center"/>
              <w:rPr>
                <w:rFonts w:cstheme="minorHAnsi"/>
                <w:b/>
                <w:bCs/>
                <w:color w:val="000000"/>
              </w:rPr>
            </w:pPr>
            <w:r w:rsidRPr="00A65462">
              <w:rPr>
                <w:b/>
                <w:color w:val="000000"/>
              </w:rPr>
              <w:t xml:space="preserve"> 6 m '/'22</w:t>
            </w:r>
          </w:p>
        </w:tc>
      </w:tr>
      <w:tr w:rsidR="004701F4" w:rsidRPr="00A65462" w14:paraId="34ED6C6D" w14:textId="77777777" w:rsidTr="005621E7">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1FF48AD" w14:textId="77777777" w:rsidR="004701F4" w:rsidRPr="004701F4" w:rsidRDefault="004701F4" w:rsidP="005621E7">
            <w:pPr>
              <w:rPr>
                <w:rFonts w:cstheme="minorHAnsi"/>
                <w:color w:val="000000"/>
                <w:lang w:val="en-GB"/>
              </w:rPr>
            </w:pPr>
            <w:r w:rsidRPr="004701F4">
              <w:rPr>
                <w:color w:val="000000"/>
                <w:lang w:val="en-GB"/>
              </w:rPr>
              <w:t>Chairs and seating, dining room, living room, bedroom, bathroom, garden and patio furniture</w:t>
            </w:r>
          </w:p>
        </w:tc>
        <w:tc>
          <w:tcPr>
            <w:tcW w:w="952" w:type="dxa"/>
            <w:tcBorders>
              <w:top w:val="nil"/>
              <w:left w:val="nil"/>
              <w:bottom w:val="single" w:sz="4" w:space="0" w:color="auto"/>
              <w:right w:val="nil"/>
            </w:tcBorders>
            <w:shd w:val="clear" w:color="auto" w:fill="auto"/>
            <w:noWrap/>
            <w:vAlign w:val="center"/>
            <w:hideMark/>
          </w:tcPr>
          <w:p w14:paraId="7993E505" w14:textId="77777777" w:rsidR="004701F4" w:rsidRPr="00A65462" w:rsidRDefault="004701F4" w:rsidP="005621E7">
            <w:pPr>
              <w:jc w:val="right"/>
              <w:rPr>
                <w:rFonts w:cstheme="minorHAnsi"/>
                <w:color w:val="000000"/>
              </w:rPr>
            </w:pPr>
            <w:r w:rsidRPr="00A65462">
              <w:rPr>
                <w:color w:val="000000"/>
              </w:rPr>
              <w:t>933.8</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39C5D84B" w14:textId="77777777" w:rsidR="004701F4" w:rsidRPr="00A65462" w:rsidRDefault="004701F4" w:rsidP="005621E7">
            <w:pPr>
              <w:jc w:val="right"/>
              <w:rPr>
                <w:rFonts w:cstheme="minorHAnsi"/>
                <w:color w:val="000000"/>
              </w:rPr>
            </w:pPr>
            <w:r w:rsidRPr="00A65462">
              <w:rPr>
                <w:rFonts w:ascii="Calibri" w:hAnsi="Calibri"/>
                <w:color w:val="000000"/>
              </w:rPr>
              <w:t>929.5</w:t>
            </w:r>
          </w:p>
        </w:tc>
        <w:tc>
          <w:tcPr>
            <w:tcW w:w="952" w:type="dxa"/>
            <w:tcBorders>
              <w:top w:val="nil"/>
              <w:left w:val="nil"/>
              <w:bottom w:val="single" w:sz="4" w:space="0" w:color="auto"/>
              <w:right w:val="single" w:sz="4" w:space="0" w:color="auto"/>
            </w:tcBorders>
            <w:shd w:val="clear" w:color="auto" w:fill="auto"/>
            <w:noWrap/>
            <w:vAlign w:val="center"/>
            <w:hideMark/>
          </w:tcPr>
          <w:p w14:paraId="7607893D" w14:textId="77777777" w:rsidR="004701F4" w:rsidRPr="00A65462" w:rsidRDefault="004701F4" w:rsidP="005621E7">
            <w:pPr>
              <w:jc w:val="right"/>
              <w:rPr>
                <w:rFonts w:cstheme="minorHAnsi"/>
                <w:b/>
                <w:bCs/>
                <w:color w:val="000000"/>
              </w:rPr>
            </w:pPr>
            <w:r w:rsidRPr="00A65462">
              <w:rPr>
                <w:rFonts w:ascii="Calibri" w:hAnsi="Calibri"/>
                <w:color w:val="000000"/>
              </w:rPr>
              <w:t>-0.5%</w:t>
            </w:r>
          </w:p>
        </w:tc>
        <w:tc>
          <w:tcPr>
            <w:tcW w:w="953" w:type="dxa"/>
            <w:tcBorders>
              <w:top w:val="nil"/>
              <w:left w:val="nil"/>
              <w:bottom w:val="single" w:sz="4" w:space="0" w:color="auto"/>
              <w:right w:val="single" w:sz="4" w:space="0" w:color="auto"/>
            </w:tcBorders>
            <w:shd w:val="clear" w:color="auto" w:fill="auto"/>
            <w:noWrap/>
            <w:vAlign w:val="center"/>
            <w:hideMark/>
          </w:tcPr>
          <w:p w14:paraId="1A28DAC1" w14:textId="77777777" w:rsidR="004701F4" w:rsidRPr="00A65462" w:rsidRDefault="004701F4" w:rsidP="005621E7">
            <w:pPr>
              <w:jc w:val="right"/>
              <w:rPr>
                <w:rFonts w:cstheme="minorHAnsi"/>
                <w:color w:val="000000"/>
              </w:rPr>
            </w:pPr>
            <w:r w:rsidRPr="00A65462">
              <w:rPr>
                <w:rFonts w:ascii="Calibri" w:hAnsi="Calibri"/>
                <w:color w:val="000000"/>
              </w:rPr>
              <w:t>489.3</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14:paraId="2C5CDFAD" w14:textId="77777777" w:rsidR="004701F4" w:rsidRPr="00A65462" w:rsidRDefault="004701F4" w:rsidP="005621E7">
            <w:pPr>
              <w:jc w:val="right"/>
              <w:rPr>
                <w:rFonts w:cstheme="minorHAnsi"/>
                <w:color w:val="000000"/>
              </w:rPr>
            </w:pPr>
            <w:r w:rsidRPr="00A65462">
              <w:rPr>
                <w:rFonts w:ascii="Calibri" w:hAnsi="Calibri"/>
                <w:color w:val="000000"/>
              </w:rPr>
              <w:t>466.1</w:t>
            </w:r>
          </w:p>
        </w:tc>
        <w:tc>
          <w:tcPr>
            <w:tcW w:w="952" w:type="dxa"/>
            <w:tcBorders>
              <w:top w:val="nil"/>
              <w:left w:val="nil"/>
              <w:bottom w:val="single" w:sz="4" w:space="0" w:color="auto"/>
              <w:right w:val="nil"/>
            </w:tcBorders>
            <w:shd w:val="clear" w:color="auto" w:fill="auto"/>
            <w:noWrap/>
            <w:vAlign w:val="center"/>
            <w:hideMark/>
          </w:tcPr>
          <w:p w14:paraId="01FDC738" w14:textId="77777777" w:rsidR="004701F4" w:rsidRPr="00A65462" w:rsidRDefault="004701F4" w:rsidP="005621E7">
            <w:pPr>
              <w:jc w:val="right"/>
              <w:rPr>
                <w:rFonts w:cstheme="minorHAnsi"/>
                <w:color w:val="000000"/>
              </w:rPr>
            </w:pPr>
            <w:r w:rsidRPr="00A65462">
              <w:rPr>
                <w:rFonts w:ascii="Calibri" w:hAnsi="Calibri"/>
                <w:color w:val="000000"/>
              </w:rPr>
              <w:t>-4.7%</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7FD05AE0" w14:textId="77777777" w:rsidR="004701F4" w:rsidRPr="00A65462" w:rsidRDefault="004701F4" w:rsidP="005621E7">
            <w:pPr>
              <w:jc w:val="right"/>
              <w:rPr>
                <w:rFonts w:cstheme="minorHAnsi"/>
                <w:color w:val="000000"/>
              </w:rPr>
            </w:pPr>
            <w:r w:rsidRPr="00A65462">
              <w:rPr>
                <w:rFonts w:ascii="Calibri" w:hAnsi="Calibri"/>
                <w:color w:val="000000"/>
              </w:rPr>
              <w:t>+9.0%</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773B31AB" w14:textId="77777777" w:rsidR="004701F4" w:rsidRPr="00A65462" w:rsidRDefault="004701F4" w:rsidP="005621E7">
            <w:pPr>
              <w:jc w:val="right"/>
              <w:rPr>
                <w:rFonts w:cstheme="minorHAnsi"/>
                <w:b/>
                <w:bCs/>
              </w:rPr>
            </w:pPr>
            <w:r w:rsidRPr="00A65462">
              <w:rPr>
                <w:rFonts w:ascii="Calibri" w:hAnsi="Calibri"/>
                <w:b/>
                <w:color w:val="000000"/>
              </w:rPr>
              <w:t>-13.7%</w:t>
            </w:r>
          </w:p>
        </w:tc>
      </w:tr>
      <w:tr w:rsidR="004701F4" w:rsidRPr="00A65462" w14:paraId="7C868B47" w14:textId="77777777" w:rsidTr="005621E7">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3655C74" w14:textId="77777777" w:rsidR="004701F4" w:rsidRPr="00A65462" w:rsidRDefault="004701F4" w:rsidP="005621E7">
            <w:pPr>
              <w:rPr>
                <w:rFonts w:cstheme="minorHAnsi"/>
                <w:color w:val="000000"/>
              </w:rPr>
            </w:pPr>
            <w:r w:rsidRPr="00A65462">
              <w:rPr>
                <w:color w:val="000000"/>
              </w:rPr>
              <w:t>Office and shop furniture</w:t>
            </w:r>
          </w:p>
        </w:tc>
        <w:tc>
          <w:tcPr>
            <w:tcW w:w="952" w:type="dxa"/>
            <w:tcBorders>
              <w:top w:val="nil"/>
              <w:left w:val="nil"/>
              <w:bottom w:val="single" w:sz="4" w:space="0" w:color="auto"/>
              <w:right w:val="nil"/>
            </w:tcBorders>
            <w:shd w:val="clear" w:color="auto" w:fill="auto"/>
            <w:noWrap/>
            <w:vAlign w:val="center"/>
            <w:hideMark/>
          </w:tcPr>
          <w:p w14:paraId="3298933A" w14:textId="77777777" w:rsidR="004701F4" w:rsidRPr="00A65462" w:rsidRDefault="004701F4" w:rsidP="005621E7">
            <w:pPr>
              <w:jc w:val="right"/>
              <w:rPr>
                <w:rFonts w:cstheme="minorHAnsi"/>
                <w:color w:val="000000"/>
              </w:rPr>
            </w:pPr>
            <w:r w:rsidRPr="00A65462">
              <w:rPr>
                <w:color w:val="000000"/>
              </w:rPr>
              <w:t>489.6</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2254DDAE" w14:textId="77777777" w:rsidR="004701F4" w:rsidRPr="00A65462" w:rsidRDefault="004701F4" w:rsidP="005621E7">
            <w:pPr>
              <w:jc w:val="right"/>
              <w:rPr>
                <w:rFonts w:cstheme="minorHAnsi"/>
                <w:color w:val="000000"/>
              </w:rPr>
            </w:pPr>
            <w:r w:rsidRPr="00A65462">
              <w:rPr>
                <w:rFonts w:ascii="Calibri" w:hAnsi="Calibri"/>
                <w:color w:val="000000"/>
              </w:rPr>
              <w:t>572.8</w:t>
            </w:r>
          </w:p>
        </w:tc>
        <w:tc>
          <w:tcPr>
            <w:tcW w:w="952" w:type="dxa"/>
            <w:tcBorders>
              <w:top w:val="nil"/>
              <w:left w:val="nil"/>
              <w:bottom w:val="single" w:sz="4" w:space="0" w:color="auto"/>
              <w:right w:val="single" w:sz="4" w:space="0" w:color="auto"/>
            </w:tcBorders>
            <w:shd w:val="clear" w:color="auto" w:fill="auto"/>
            <w:noWrap/>
            <w:vAlign w:val="center"/>
            <w:hideMark/>
          </w:tcPr>
          <w:p w14:paraId="2CC92C3C" w14:textId="77777777" w:rsidR="004701F4" w:rsidRPr="00A65462" w:rsidRDefault="004701F4" w:rsidP="005621E7">
            <w:pPr>
              <w:jc w:val="right"/>
              <w:rPr>
                <w:rFonts w:cstheme="minorHAnsi"/>
                <w:b/>
                <w:bCs/>
                <w:color w:val="000000"/>
              </w:rPr>
            </w:pPr>
            <w:r w:rsidRPr="00A65462">
              <w:rPr>
                <w:rFonts w:ascii="Calibri" w:hAnsi="Calibri"/>
                <w:color w:val="000000"/>
              </w:rPr>
              <w:t>17.0%</w:t>
            </w:r>
          </w:p>
        </w:tc>
        <w:tc>
          <w:tcPr>
            <w:tcW w:w="953" w:type="dxa"/>
            <w:tcBorders>
              <w:top w:val="nil"/>
              <w:left w:val="nil"/>
              <w:bottom w:val="single" w:sz="4" w:space="0" w:color="auto"/>
              <w:right w:val="single" w:sz="4" w:space="0" w:color="auto"/>
            </w:tcBorders>
            <w:shd w:val="clear" w:color="auto" w:fill="auto"/>
            <w:noWrap/>
            <w:vAlign w:val="center"/>
            <w:hideMark/>
          </w:tcPr>
          <w:p w14:paraId="3CB2D356" w14:textId="77777777" w:rsidR="004701F4" w:rsidRPr="00A65462" w:rsidRDefault="004701F4" w:rsidP="005621E7">
            <w:pPr>
              <w:jc w:val="right"/>
              <w:rPr>
                <w:rFonts w:cstheme="minorHAnsi"/>
                <w:color w:val="000000"/>
              </w:rPr>
            </w:pPr>
            <w:r w:rsidRPr="00A65462">
              <w:rPr>
                <w:rFonts w:ascii="Calibri" w:hAnsi="Calibri"/>
                <w:color w:val="000000"/>
              </w:rPr>
              <w:t>287.6</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14:paraId="33626668" w14:textId="77777777" w:rsidR="004701F4" w:rsidRPr="00A65462" w:rsidRDefault="004701F4" w:rsidP="005621E7">
            <w:pPr>
              <w:jc w:val="right"/>
              <w:rPr>
                <w:rFonts w:cstheme="minorHAnsi"/>
                <w:color w:val="000000"/>
              </w:rPr>
            </w:pPr>
            <w:r w:rsidRPr="00A65462">
              <w:rPr>
                <w:rFonts w:ascii="Calibri" w:hAnsi="Calibri"/>
                <w:color w:val="000000"/>
              </w:rPr>
              <w:t>275.9</w:t>
            </w:r>
          </w:p>
        </w:tc>
        <w:tc>
          <w:tcPr>
            <w:tcW w:w="952" w:type="dxa"/>
            <w:tcBorders>
              <w:top w:val="nil"/>
              <w:left w:val="nil"/>
              <w:bottom w:val="single" w:sz="4" w:space="0" w:color="auto"/>
              <w:right w:val="nil"/>
            </w:tcBorders>
            <w:shd w:val="clear" w:color="auto" w:fill="auto"/>
            <w:noWrap/>
            <w:vAlign w:val="center"/>
            <w:hideMark/>
          </w:tcPr>
          <w:p w14:paraId="60FF674A" w14:textId="77777777" w:rsidR="004701F4" w:rsidRPr="00A65462" w:rsidRDefault="004701F4" w:rsidP="005621E7">
            <w:pPr>
              <w:jc w:val="right"/>
              <w:rPr>
                <w:rFonts w:cstheme="minorHAnsi"/>
                <w:color w:val="000000"/>
              </w:rPr>
            </w:pPr>
            <w:r w:rsidRPr="00A65462">
              <w:rPr>
                <w:rFonts w:ascii="Calibri" w:hAnsi="Calibri"/>
                <w:color w:val="000000"/>
              </w:rPr>
              <w:t>-4.1%</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412A74F9" w14:textId="77777777" w:rsidR="004701F4" w:rsidRPr="00A65462" w:rsidRDefault="004701F4" w:rsidP="005621E7">
            <w:pPr>
              <w:jc w:val="right"/>
              <w:rPr>
                <w:rFonts w:cstheme="minorHAnsi"/>
                <w:color w:val="000000"/>
              </w:rPr>
            </w:pPr>
            <w:r w:rsidRPr="00A65462">
              <w:rPr>
                <w:rFonts w:ascii="Calibri" w:hAnsi="Calibri"/>
                <w:color w:val="000000"/>
              </w:rPr>
              <w:t>+4.3%</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14D64E4D" w14:textId="77777777" w:rsidR="004701F4" w:rsidRPr="00A65462" w:rsidRDefault="004701F4" w:rsidP="005621E7">
            <w:pPr>
              <w:jc w:val="right"/>
              <w:rPr>
                <w:rFonts w:cstheme="minorHAnsi"/>
                <w:b/>
                <w:bCs/>
              </w:rPr>
            </w:pPr>
            <w:r w:rsidRPr="00A65462">
              <w:rPr>
                <w:rFonts w:ascii="Calibri" w:hAnsi="Calibri"/>
                <w:b/>
                <w:color w:val="000000"/>
              </w:rPr>
              <w:t>-8.4%</w:t>
            </w:r>
          </w:p>
        </w:tc>
      </w:tr>
      <w:tr w:rsidR="004701F4" w:rsidRPr="00A65462" w14:paraId="259DE848" w14:textId="77777777" w:rsidTr="005621E7">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09A228C" w14:textId="77777777" w:rsidR="004701F4" w:rsidRPr="00A65462" w:rsidRDefault="004701F4" w:rsidP="005621E7">
            <w:pPr>
              <w:rPr>
                <w:rFonts w:cstheme="minorHAnsi"/>
                <w:color w:val="000000"/>
              </w:rPr>
            </w:pPr>
            <w:r w:rsidRPr="00A65462">
              <w:rPr>
                <w:color w:val="000000"/>
              </w:rPr>
              <w:t>Kitchen furniture</w:t>
            </w:r>
          </w:p>
        </w:tc>
        <w:tc>
          <w:tcPr>
            <w:tcW w:w="952" w:type="dxa"/>
            <w:tcBorders>
              <w:top w:val="nil"/>
              <w:left w:val="nil"/>
              <w:bottom w:val="single" w:sz="4" w:space="0" w:color="auto"/>
              <w:right w:val="nil"/>
            </w:tcBorders>
            <w:shd w:val="clear" w:color="auto" w:fill="auto"/>
            <w:noWrap/>
            <w:vAlign w:val="center"/>
            <w:hideMark/>
          </w:tcPr>
          <w:p w14:paraId="442C2329" w14:textId="77777777" w:rsidR="004701F4" w:rsidRPr="00A65462" w:rsidRDefault="004701F4" w:rsidP="005621E7">
            <w:pPr>
              <w:jc w:val="right"/>
              <w:rPr>
                <w:rFonts w:cstheme="minorHAnsi"/>
                <w:color w:val="000000"/>
              </w:rPr>
            </w:pPr>
            <w:r w:rsidRPr="00A65462">
              <w:rPr>
                <w:color w:val="000000"/>
              </w:rPr>
              <w:t>482.9</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6C4DAE9D" w14:textId="77777777" w:rsidR="004701F4" w:rsidRPr="00A65462" w:rsidRDefault="004701F4" w:rsidP="005621E7">
            <w:pPr>
              <w:jc w:val="right"/>
              <w:rPr>
                <w:rFonts w:cstheme="minorHAnsi"/>
                <w:color w:val="000000"/>
              </w:rPr>
            </w:pPr>
            <w:r w:rsidRPr="00A65462">
              <w:rPr>
                <w:rFonts w:ascii="Calibri" w:hAnsi="Calibri"/>
                <w:color w:val="000000"/>
              </w:rPr>
              <w:t>513.5</w:t>
            </w:r>
          </w:p>
        </w:tc>
        <w:tc>
          <w:tcPr>
            <w:tcW w:w="952" w:type="dxa"/>
            <w:tcBorders>
              <w:top w:val="nil"/>
              <w:left w:val="nil"/>
              <w:bottom w:val="single" w:sz="4" w:space="0" w:color="auto"/>
              <w:right w:val="single" w:sz="4" w:space="0" w:color="auto"/>
            </w:tcBorders>
            <w:shd w:val="clear" w:color="auto" w:fill="auto"/>
            <w:noWrap/>
            <w:vAlign w:val="center"/>
            <w:hideMark/>
          </w:tcPr>
          <w:p w14:paraId="7B30AB40" w14:textId="77777777" w:rsidR="004701F4" w:rsidRPr="00A65462" w:rsidRDefault="004701F4" w:rsidP="005621E7">
            <w:pPr>
              <w:jc w:val="right"/>
              <w:rPr>
                <w:rFonts w:cstheme="minorHAnsi"/>
                <w:b/>
                <w:bCs/>
                <w:color w:val="000000"/>
              </w:rPr>
            </w:pPr>
            <w:r w:rsidRPr="00A65462">
              <w:rPr>
                <w:rFonts w:ascii="Calibri" w:hAnsi="Calibri"/>
                <w:color w:val="000000"/>
              </w:rPr>
              <w:t>6.3%</w:t>
            </w:r>
          </w:p>
        </w:tc>
        <w:tc>
          <w:tcPr>
            <w:tcW w:w="953" w:type="dxa"/>
            <w:tcBorders>
              <w:top w:val="nil"/>
              <w:left w:val="nil"/>
              <w:bottom w:val="single" w:sz="4" w:space="0" w:color="auto"/>
              <w:right w:val="single" w:sz="4" w:space="0" w:color="auto"/>
            </w:tcBorders>
            <w:shd w:val="clear" w:color="auto" w:fill="auto"/>
            <w:noWrap/>
            <w:vAlign w:val="center"/>
            <w:hideMark/>
          </w:tcPr>
          <w:p w14:paraId="1526BDF3" w14:textId="77777777" w:rsidR="004701F4" w:rsidRPr="00A65462" w:rsidRDefault="004701F4" w:rsidP="005621E7">
            <w:pPr>
              <w:jc w:val="right"/>
              <w:rPr>
                <w:rFonts w:cstheme="minorHAnsi"/>
                <w:color w:val="000000"/>
              </w:rPr>
            </w:pPr>
            <w:r w:rsidRPr="00A65462">
              <w:rPr>
                <w:rFonts w:ascii="Calibri" w:hAnsi="Calibri"/>
                <w:color w:val="000000"/>
              </w:rPr>
              <w:t>262.8</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14:paraId="0A51C4F5" w14:textId="77777777" w:rsidR="004701F4" w:rsidRPr="00A65462" w:rsidRDefault="004701F4" w:rsidP="005621E7">
            <w:pPr>
              <w:jc w:val="right"/>
              <w:rPr>
                <w:rFonts w:cstheme="minorHAnsi"/>
                <w:color w:val="000000"/>
              </w:rPr>
            </w:pPr>
            <w:r w:rsidRPr="00A65462">
              <w:rPr>
                <w:rFonts w:ascii="Calibri" w:hAnsi="Calibri"/>
                <w:color w:val="000000"/>
              </w:rPr>
              <w:t>262.2</w:t>
            </w:r>
          </w:p>
        </w:tc>
        <w:tc>
          <w:tcPr>
            <w:tcW w:w="952" w:type="dxa"/>
            <w:tcBorders>
              <w:top w:val="nil"/>
              <w:left w:val="nil"/>
              <w:bottom w:val="single" w:sz="4" w:space="0" w:color="auto"/>
              <w:right w:val="nil"/>
            </w:tcBorders>
            <w:shd w:val="clear" w:color="auto" w:fill="auto"/>
            <w:noWrap/>
            <w:vAlign w:val="center"/>
            <w:hideMark/>
          </w:tcPr>
          <w:p w14:paraId="7DFDAEE3" w14:textId="77777777" w:rsidR="004701F4" w:rsidRPr="00A65462" w:rsidRDefault="004701F4" w:rsidP="005621E7">
            <w:pPr>
              <w:jc w:val="right"/>
              <w:rPr>
                <w:rFonts w:cstheme="minorHAnsi"/>
                <w:color w:val="000000"/>
              </w:rPr>
            </w:pPr>
            <w:r w:rsidRPr="00A65462">
              <w:rPr>
                <w:rFonts w:ascii="Calibri" w:hAnsi="Calibri"/>
                <w:color w:val="000000"/>
              </w:rPr>
              <w:t>-0.2%</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082B2A09" w14:textId="77777777" w:rsidR="004701F4" w:rsidRPr="00A65462" w:rsidRDefault="004701F4" w:rsidP="005621E7">
            <w:pPr>
              <w:jc w:val="right"/>
              <w:rPr>
                <w:rFonts w:cstheme="minorHAnsi"/>
                <w:color w:val="000000"/>
              </w:rPr>
            </w:pPr>
            <w:r w:rsidRPr="00A65462">
              <w:rPr>
                <w:rFonts w:ascii="Calibri" w:hAnsi="Calibri"/>
                <w:color w:val="000000"/>
              </w:rPr>
              <w:t>+13.5%</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7AF86093" w14:textId="77777777" w:rsidR="004701F4" w:rsidRPr="00A65462" w:rsidRDefault="004701F4" w:rsidP="005621E7">
            <w:pPr>
              <w:jc w:val="right"/>
              <w:rPr>
                <w:rFonts w:cstheme="minorHAnsi"/>
                <w:b/>
                <w:bCs/>
              </w:rPr>
            </w:pPr>
            <w:r w:rsidRPr="00A65462">
              <w:rPr>
                <w:rFonts w:ascii="Calibri" w:hAnsi="Calibri"/>
                <w:b/>
                <w:color w:val="000000"/>
              </w:rPr>
              <w:t>-13.7%</w:t>
            </w:r>
          </w:p>
        </w:tc>
      </w:tr>
      <w:tr w:rsidR="004701F4" w:rsidRPr="00A65462" w14:paraId="65B3EBB0" w14:textId="77777777" w:rsidTr="005621E7">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35E4D5D1" w14:textId="77777777" w:rsidR="004701F4" w:rsidRPr="00A65462" w:rsidRDefault="004701F4" w:rsidP="005621E7">
            <w:pPr>
              <w:rPr>
                <w:rFonts w:cstheme="minorHAnsi"/>
                <w:color w:val="000000"/>
              </w:rPr>
            </w:pPr>
            <w:r w:rsidRPr="00A65462">
              <w:rPr>
                <w:color w:val="000000"/>
              </w:rPr>
              <w:t>Mattresses and bases</w:t>
            </w:r>
          </w:p>
        </w:tc>
        <w:tc>
          <w:tcPr>
            <w:tcW w:w="952" w:type="dxa"/>
            <w:tcBorders>
              <w:top w:val="nil"/>
              <w:left w:val="nil"/>
              <w:bottom w:val="single" w:sz="4" w:space="0" w:color="auto"/>
              <w:right w:val="single" w:sz="4" w:space="0" w:color="auto"/>
            </w:tcBorders>
            <w:shd w:val="clear" w:color="auto" w:fill="auto"/>
            <w:noWrap/>
            <w:vAlign w:val="center"/>
            <w:hideMark/>
          </w:tcPr>
          <w:p w14:paraId="26EB8D97" w14:textId="77777777" w:rsidR="004701F4" w:rsidRPr="00A65462" w:rsidRDefault="004701F4" w:rsidP="005621E7">
            <w:pPr>
              <w:jc w:val="right"/>
              <w:rPr>
                <w:rFonts w:cstheme="minorHAnsi"/>
                <w:color w:val="000000"/>
              </w:rPr>
            </w:pPr>
            <w:r w:rsidRPr="00A65462">
              <w:rPr>
                <w:color w:val="000000"/>
              </w:rPr>
              <w:t>365.8</w:t>
            </w:r>
          </w:p>
        </w:tc>
        <w:tc>
          <w:tcPr>
            <w:tcW w:w="952" w:type="dxa"/>
            <w:tcBorders>
              <w:top w:val="nil"/>
              <w:left w:val="nil"/>
              <w:bottom w:val="single" w:sz="4" w:space="0" w:color="auto"/>
              <w:right w:val="single" w:sz="4" w:space="0" w:color="auto"/>
            </w:tcBorders>
            <w:shd w:val="clear" w:color="auto" w:fill="auto"/>
            <w:noWrap/>
            <w:vAlign w:val="center"/>
            <w:hideMark/>
          </w:tcPr>
          <w:p w14:paraId="35A3AB74" w14:textId="77777777" w:rsidR="004701F4" w:rsidRPr="00A65462" w:rsidRDefault="004701F4" w:rsidP="005621E7">
            <w:pPr>
              <w:jc w:val="right"/>
              <w:rPr>
                <w:rFonts w:cstheme="minorHAnsi"/>
                <w:color w:val="000000"/>
              </w:rPr>
            </w:pPr>
            <w:r w:rsidRPr="00A65462">
              <w:rPr>
                <w:rFonts w:ascii="Calibri" w:hAnsi="Calibri"/>
                <w:color w:val="000000"/>
              </w:rPr>
              <w:t>247.7</w:t>
            </w:r>
          </w:p>
        </w:tc>
        <w:tc>
          <w:tcPr>
            <w:tcW w:w="952" w:type="dxa"/>
            <w:tcBorders>
              <w:top w:val="nil"/>
              <w:left w:val="nil"/>
              <w:bottom w:val="single" w:sz="4" w:space="0" w:color="auto"/>
              <w:right w:val="single" w:sz="4" w:space="0" w:color="auto"/>
            </w:tcBorders>
            <w:shd w:val="clear" w:color="auto" w:fill="auto"/>
            <w:noWrap/>
            <w:vAlign w:val="center"/>
            <w:hideMark/>
          </w:tcPr>
          <w:p w14:paraId="62F5538F" w14:textId="77777777" w:rsidR="004701F4" w:rsidRPr="00A65462" w:rsidRDefault="004701F4" w:rsidP="005621E7">
            <w:pPr>
              <w:jc w:val="right"/>
              <w:rPr>
                <w:rFonts w:cstheme="minorHAnsi"/>
                <w:b/>
                <w:bCs/>
                <w:color w:val="000000"/>
              </w:rPr>
            </w:pPr>
            <w:r w:rsidRPr="00A65462">
              <w:rPr>
                <w:rFonts w:ascii="Calibri" w:hAnsi="Calibri"/>
                <w:color w:val="000000"/>
              </w:rPr>
              <w:t>-32.3%</w:t>
            </w:r>
          </w:p>
        </w:tc>
        <w:tc>
          <w:tcPr>
            <w:tcW w:w="953" w:type="dxa"/>
            <w:tcBorders>
              <w:top w:val="nil"/>
              <w:left w:val="nil"/>
              <w:bottom w:val="single" w:sz="4" w:space="0" w:color="auto"/>
              <w:right w:val="single" w:sz="4" w:space="0" w:color="auto"/>
            </w:tcBorders>
            <w:shd w:val="clear" w:color="auto" w:fill="auto"/>
            <w:noWrap/>
            <w:vAlign w:val="center"/>
            <w:hideMark/>
          </w:tcPr>
          <w:p w14:paraId="78938DA8" w14:textId="77777777" w:rsidR="004701F4" w:rsidRPr="00A65462" w:rsidRDefault="004701F4" w:rsidP="005621E7">
            <w:pPr>
              <w:jc w:val="right"/>
              <w:rPr>
                <w:rFonts w:cstheme="minorHAnsi"/>
                <w:color w:val="000000"/>
              </w:rPr>
            </w:pPr>
            <w:r w:rsidRPr="00A65462">
              <w:rPr>
                <w:rFonts w:ascii="Calibri" w:hAnsi="Calibri"/>
                <w:color w:val="000000"/>
              </w:rPr>
              <w:t>131.7</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14:paraId="4FAE57C6" w14:textId="77777777" w:rsidR="004701F4" w:rsidRPr="00A65462" w:rsidRDefault="004701F4" w:rsidP="005621E7">
            <w:pPr>
              <w:jc w:val="right"/>
              <w:rPr>
                <w:rFonts w:cstheme="minorHAnsi"/>
                <w:color w:val="000000"/>
              </w:rPr>
            </w:pPr>
            <w:r w:rsidRPr="00A65462">
              <w:rPr>
                <w:rFonts w:ascii="Calibri" w:hAnsi="Calibri"/>
                <w:color w:val="000000"/>
              </w:rPr>
              <w:t>101.8</w:t>
            </w:r>
          </w:p>
        </w:tc>
        <w:tc>
          <w:tcPr>
            <w:tcW w:w="952" w:type="dxa"/>
            <w:tcBorders>
              <w:top w:val="nil"/>
              <w:left w:val="nil"/>
              <w:bottom w:val="single" w:sz="4" w:space="0" w:color="auto"/>
              <w:right w:val="nil"/>
            </w:tcBorders>
            <w:shd w:val="clear" w:color="auto" w:fill="auto"/>
            <w:noWrap/>
            <w:vAlign w:val="center"/>
            <w:hideMark/>
          </w:tcPr>
          <w:p w14:paraId="6E6A1693" w14:textId="77777777" w:rsidR="004701F4" w:rsidRPr="00A65462" w:rsidRDefault="004701F4" w:rsidP="005621E7">
            <w:pPr>
              <w:jc w:val="right"/>
              <w:rPr>
                <w:rFonts w:cstheme="minorHAnsi"/>
                <w:color w:val="000000"/>
              </w:rPr>
            </w:pPr>
            <w:r w:rsidRPr="00A65462">
              <w:rPr>
                <w:rFonts w:ascii="Calibri" w:hAnsi="Calibri"/>
                <w:color w:val="000000"/>
              </w:rPr>
              <w:t>-22.7%</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76F108D3" w14:textId="77777777" w:rsidR="004701F4" w:rsidRPr="00A65462" w:rsidRDefault="004701F4" w:rsidP="005621E7">
            <w:pPr>
              <w:jc w:val="right"/>
              <w:rPr>
                <w:rFonts w:cstheme="minorHAnsi"/>
                <w:color w:val="000000"/>
              </w:rPr>
            </w:pPr>
            <w:r w:rsidRPr="00A65462">
              <w:rPr>
                <w:rFonts w:ascii="Calibri" w:hAnsi="Calibri"/>
                <w:color w:val="000000"/>
              </w:rPr>
              <w:t>+3.0%</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17EC7792" w14:textId="77777777" w:rsidR="004701F4" w:rsidRPr="00A65462" w:rsidRDefault="004701F4" w:rsidP="005621E7">
            <w:pPr>
              <w:jc w:val="right"/>
              <w:rPr>
                <w:rFonts w:cstheme="minorHAnsi"/>
                <w:b/>
                <w:bCs/>
              </w:rPr>
            </w:pPr>
            <w:r w:rsidRPr="00A65462">
              <w:rPr>
                <w:rFonts w:ascii="Calibri" w:hAnsi="Calibri"/>
                <w:b/>
                <w:color w:val="000000"/>
              </w:rPr>
              <w:t>-25.7%</w:t>
            </w:r>
          </w:p>
        </w:tc>
      </w:tr>
      <w:tr w:rsidR="004701F4" w:rsidRPr="00A65462" w14:paraId="58BB2861" w14:textId="77777777" w:rsidTr="005621E7">
        <w:trPr>
          <w:trHeight w:val="360"/>
        </w:trPr>
        <w:tc>
          <w:tcPr>
            <w:tcW w:w="2835" w:type="dxa"/>
            <w:tcBorders>
              <w:top w:val="nil"/>
              <w:left w:val="single" w:sz="4" w:space="0" w:color="auto"/>
              <w:bottom w:val="single" w:sz="4" w:space="0" w:color="auto"/>
              <w:right w:val="single" w:sz="4" w:space="0" w:color="auto"/>
            </w:tcBorders>
            <w:shd w:val="clear" w:color="auto" w:fill="FFC000"/>
            <w:noWrap/>
            <w:vAlign w:val="center"/>
            <w:hideMark/>
          </w:tcPr>
          <w:p w14:paraId="42659C00" w14:textId="77777777" w:rsidR="004701F4" w:rsidRPr="00A65462" w:rsidRDefault="004701F4" w:rsidP="005621E7">
            <w:pPr>
              <w:rPr>
                <w:rFonts w:cstheme="minorHAnsi"/>
                <w:color w:val="000000"/>
              </w:rPr>
            </w:pPr>
            <w:r w:rsidRPr="00A65462">
              <w:rPr>
                <w:color w:val="000000"/>
              </w:rPr>
              <w:t>Furniture industry</w:t>
            </w:r>
          </w:p>
        </w:tc>
        <w:tc>
          <w:tcPr>
            <w:tcW w:w="952" w:type="dxa"/>
            <w:tcBorders>
              <w:top w:val="nil"/>
              <w:left w:val="nil"/>
              <w:bottom w:val="single" w:sz="4" w:space="0" w:color="auto"/>
              <w:right w:val="single" w:sz="4" w:space="0" w:color="auto"/>
            </w:tcBorders>
            <w:shd w:val="clear" w:color="auto" w:fill="FFC000"/>
            <w:noWrap/>
            <w:vAlign w:val="center"/>
            <w:hideMark/>
          </w:tcPr>
          <w:p w14:paraId="4F1E7667" w14:textId="77777777" w:rsidR="004701F4" w:rsidRPr="00A65462" w:rsidRDefault="004701F4" w:rsidP="005621E7">
            <w:pPr>
              <w:jc w:val="right"/>
              <w:rPr>
                <w:rFonts w:cstheme="minorHAnsi"/>
                <w:color w:val="000000"/>
              </w:rPr>
            </w:pPr>
            <w:r w:rsidRPr="00A65462">
              <w:rPr>
                <w:color w:val="000000"/>
              </w:rPr>
              <w:t>2,272,1</w:t>
            </w:r>
          </w:p>
        </w:tc>
        <w:tc>
          <w:tcPr>
            <w:tcW w:w="952" w:type="dxa"/>
            <w:tcBorders>
              <w:top w:val="nil"/>
              <w:left w:val="nil"/>
              <w:bottom w:val="single" w:sz="4" w:space="0" w:color="auto"/>
              <w:right w:val="single" w:sz="4" w:space="0" w:color="auto"/>
            </w:tcBorders>
            <w:shd w:val="clear" w:color="auto" w:fill="FFC000"/>
            <w:noWrap/>
            <w:vAlign w:val="center"/>
            <w:hideMark/>
          </w:tcPr>
          <w:p w14:paraId="5EB1356B" w14:textId="77777777" w:rsidR="004701F4" w:rsidRPr="00A65462" w:rsidRDefault="004701F4" w:rsidP="005621E7">
            <w:pPr>
              <w:jc w:val="right"/>
              <w:rPr>
                <w:rFonts w:cstheme="minorHAnsi"/>
                <w:color w:val="000000"/>
              </w:rPr>
            </w:pPr>
            <w:r w:rsidRPr="00A65462">
              <w:rPr>
                <w:color w:val="000000"/>
              </w:rPr>
              <w:t>2,263,5</w:t>
            </w:r>
          </w:p>
        </w:tc>
        <w:tc>
          <w:tcPr>
            <w:tcW w:w="952" w:type="dxa"/>
            <w:tcBorders>
              <w:top w:val="nil"/>
              <w:left w:val="nil"/>
              <w:bottom w:val="single" w:sz="4" w:space="0" w:color="auto"/>
              <w:right w:val="single" w:sz="4" w:space="0" w:color="auto"/>
            </w:tcBorders>
            <w:shd w:val="clear" w:color="auto" w:fill="FFC000"/>
            <w:noWrap/>
            <w:vAlign w:val="center"/>
            <w:hideMark/>
          </w:tcPr>
          <w:p w14:paraId="4F5B2835" w14:textId="77777777" w:rsidR="004701F4" w:rsidRPr="00A65462" w:rsidRDefault="004701F4" w:rsidP="005621E7">
            <w:pPr>
              <w:jc w:val="right"/>
              <w:rPr>
                <w:rFonts w:cstheme="minorHAnsi"/>
                <w:b/>
                <w:bCs/>
                <w:color w:val="000000"/>
              </w:rPr>
            </w:pPr>
            <w:r w:rsidRPr="00A65462">
              <w:rPr>
                <w:b/>
                <w:color w:val="000000"/>
              </w:rPr>
              <w:t>-0.4%</w:t>
            </w:r>
          </w:p>
        </w:tc>
        <w:tc>
          <w:tcPr>
            <w:tcW w:w="953" w:type="dxa"/>
            <w:tcBorders>
              <w:top w:val="nil"/>
              <w:left w:val="nil"/>
              <w:bottom w:val="single" w:sz="4" w:space="0" w:color="auto"/>
              <w:right w:val="single" w:sz="4" w:space="0" w:color="auto"/>
            </w:tcBorders>
            <w:shd w:val="clear" w:color="auto" w:fill="FFC000"/>
            <w:noWrap/>
            <w:vAlign w:val="center"/>
            <w:hideMark/>
          </w:tcPr>
          <w:p w14:paraId="77224707" w14:textId="77777777" w:rsidR="004701F4" w:rsidRPr="00A65462" w:rsidRDefault="004701F4" w:rsidP="005621E7">
            <w:pPr>
              <w:jc w:val="right"/>
              <w:rPr>
                <w:rFonts w:cstheme="minorHAnsi"/>
                <w:color w:val="000000"/>
              </w:rPr>
            </w:pPr>
            <w:r w:rsidRPr="00A65462">
              <w:rPr>
                <w:rFonts w:ascii="Calibri" w:hAnsi="Calibri"/>
                <w:b/>
                <w:color w:val="000000"/>
              </w:rPr>
              <w:t>1,171,4</w:t>
            </w:r>
          </w:p>
        </w:tc>
        <w:tc>
          <w:tcPr>
            <w:tcW w:w="952" w:type="dxa"/>
            <w:tcBorders>
              <w:top w:val="nil"/>
              <w:left w:val="nil"/>
              <w:bottom w:val="single" w:sz="4" w:space="0" w:color="auto"/>
              <w:right w:val="single" w:sz="4" w:space="0" w:color="auto"/>
            </w:tcBorders>
            <w:shd w:val="clear" w:color="auto" w:fill="FFC000"/>
            <w:noWrap/>
            <w:vAlign w:val="center"/>
            <w:hideMark/>
          </w:tcPr>
          <w:p w14:paraId="790BC635" w14:textId="77777777" w:rsidR="004701F4" w:rsidRPr="00A65462" w:rsidRDefault="004701F4" w:rsidP="005621E7">
            <w:pPr>
              <w:jc w:val="right"/>
              <w:rPr>
                <w:rFonts w:cstheme="minorHAnsi"/>
                <w:color w:val="000000"/>
              </w:rPr>
            </w:pPr>
            <w:r w:rsidRPr="00A65462">
              <w:rPr>
                <w:rFonts w:ascii="Calibri" w:hAnsi="Calibri"/>
                <w:b/>
                <w:color w:val="000000"/>
              </w:rPr>
              <w:t>1,106</w:t>
            </w:r>
          </w:p>
        </w:tc>
        <w:tc>
          <w:tcPr>
            <w:tcW w:w="952" w:type="dxa"/>
            <w:tcBorders>
              <w:top w:val="nil"/>
              <w:left w:val="nil"/>
              <w:bottom w:val="single" w:sz="4" w:space="0" w:color="auto"/>
              <w:right w:val="nil"/>
            </w:tcBorders>
            <w:shd w:val="clear" w:color="auto" w:fill="FFC000"/>
            <w:noWrap/>
            <w:vAlign w:val="center"/>
            <w:hideMark/>
          </w:tcPr>
          <w:p w14:paraId="53BFEA65" w14:textId="77777777" w:rsidR="004701F4" w:rsidRPr="00A65462" w:rsidRDefault="004701F4" w:rsidP="005621E7">
            <w:pPr>
              <w:jc w:val="right"/>
              <w:rPr>
                <w:rFonts w:cstheme="minorHAnsi"/>
                <w:color w:val="000000"/>
              </w:rPr>
            </w:pPr>
            <w:r w:rsidRPr="00A65462">
              <w:rPr>
                <w:rFonts w:ascii="Calibri" w:hAnsi="Calibri"/>
                <w:b/>
                <w:color w:val="000000"/>
              </w:rPr>
              <w:t>-5.6%</w:t>
            </w:r>
          </w:p>
        </w:tc>
        <w:tc>
          <w:tcPr>
            <w:tcW w:w="952" w:type="dxa"/>
            <w:tcBorders>
              <w:top w:val="nil"/>
              <w:left w:val="single" w:sz="12" w:space="0" w:color="auto"/>
              <w:bottom w:val="single" w:sz="4" w:space="0" w:color="auto"/>
              <w:right w:val="single" w:sz="4" w:space="0" w:color="auto"/>
            </w:tcBorders>
            <w:shd w:val="clear" w:color="auto" w:fill="FFC000"/>
            <w:noWrap/>
            <w:vAlign w:val="center"/>
            <w:hideMark/>
          </w:tcPr>
          <w:p w14:paraId="04900A60" w14:textId="77777777" w:rsidR="004701F4" w:rsidRPr="00A65462" w:rsidRDefault="004701F4" w:rsidP="005621E7">
            <w:pPr>
              <w:jc w:val="right"/>
              <w:rPr>
                <w:rFonts w:cstheme="minorHAnsi"/>
                <w:color w:val="000000"/>
              </w:rPr>
            </w:pPr>
            <w:r w:rsidRPr="00A65462">
              <w:rPr>
                <w:color w:val="000000"/>
              </w:rPr>
              <w:t>+6.2%</w:t>
            </w:r>
          </w:p>
        </w:tc>
        <w:tc>
          <w:tcPr>
            <w:tcW w:w="953" w:type="dxa"/>
            <w:tcBorders>
              <w:top w:val="nil"/>
              <w:left w:val="single" w:sz="12" w:space="0" w:color="auto"/>
              <w:bottom w:val="single" w:sz="4" w:space="0" w:color="auto"/>
              <w:right w:val="single" w:sz="4" w:space="0" w:color="auto"/>
            </w:tcBorders>
            <w:shd w:val="clear" w:color="auto" w:fill="FFC000"/>
            <w:noWrap/>
            <w:vAlign w:val="center"/>
            <w:hideMark/>
          </w:tcPr>
          <w:p w14:paraId="24EAA4A6" w14:textId="77777777" w:rsidR="004701F4" w:rsidRPr="00A65462" w:rsidRDefault="004701F4" w:rsidP="005621E7">
            <w:pPr>
              <w:jc w:val="right"/>
              <w:rPr>
                <w:rFonts w:cstheme="minorHAnsi"/>
                <w:b/>
                <w:bCs/>
              </w:rPr>
            </w:pPr>
            <w:r w:rsidRPr="00A65462">
              <w:rPr>
                <w:b/>
              </w:rPr>
              <w:t>-11.8%</w:t>
            </w:r>
          </w:p>
        </w:tc>
      </w:tr>
    </w:tbl>
    <w:p w14:paraId="1F08F44C" w14:textId="77777777" w:rsidR="004701F4" w:rsidRPr="00A65462" w:rsidRDefault="004701F4" w:rsidP="004701F4">
      <w:pPr>
        <w:pStyle w:val="BodyText"/>
        <w:tabs>
          <w:tab w:val="clear" w:pos="3884"/>
          <w:tab w:val="left" w:pos="567"/>
        </w:tabs>
        <w:rPr>
          <w:rFonts w:asciiTheme="minorHAnsi" w:hAnsiTheme="minorHAnsi" w:cstheme="minorHAnsi"/>
          <w:noProof w:val="0"/>
          <w:sz w:val="16"/>
          <w:szCs w:val="10"/>
        </w:rPr>
      </w:pPr>
      <w:r w:rsidRPr="00A65462">
        <w:rPr>
          <w:rFonts w:asciiTheme="minorHAnsi" w:hAnsiTheme="minorHAnsi"/>
          <w:noProof w:val="0"/>
          <w:sz w:val="16"/>
        </w:rPr>
        <w:t>Source: FPS Economy, VAT returns</w:t>
      </w:r>
    </w:p>
    <w:p w14:paraId="3590C008" w14:textId="77777777" w:rsidR="004701F4" w:rsidRPr="00A65462" w:rsidRDefault="004701F4" w:rsidP="004701F4">
      <w:pPr>
        <w:pStyle w:val="BodyText"/>
        <w:tabs>
          <w:tab w:val="clear" w:pos="3884"/>
          <w:tab w:val="left" w:pos="567"/>
        </w:tabs>
        <w:rPr>
          <w:rFonts w:asciiTheme="minorHAnsi" w:hAnsiTheme="minorHAnsi" w:cstheme="minorHAnsi"/>
          <w:noProof w:val="0"/>
          <w:sz w:val="18"/>
        </w:rPr>
      </w:pPr>
      <w:r w:rsidRPr="00A65462">
        <w:rPr>
          <w:rFonts w:asciiTheme="minorHAnsi" w:hAnsiTheme="minorHAnsi"/>
          <w:noProof w:val="0"/>
          <w:sz w:val="18"/>
        </w:rPr>
        <w:t>* Provisional data</w:t>
      </w:r>
    </w:p>
    <w:p w14:paraId="3027FBEF" w14:textId="77777777" w:rsidR="004701F4" w:rsidRPr="00A65462" w:rsidRDefault="004701F4" w:rsidP="004701F4">
      <w:pPr>
        <w:pStyle w:val="BodyText"/>
        <w:rPr>
          <w:rFonts w:asciiTheme="minorHAnsi" w:hAnsiTheme="minorHAnsi" w:cstheme="minorBidi"/>
          <w:noProof w:val="0"/>
        </w:rPr>
      </w:pPr>
      <w:r w:rsidRPr="00A65462">
        <w:rPr>
          <w:rFonts w:asciiTheme="minorHAnsi" w:hAnsiTheme="minorHAnsi"/>
          <w:noProof w:val="0"/>
        </w:rPr>
        <w:lastRenderedPageBreak/>
        <w:t xml:space="preserve">In the first half of 2023, turnover in the Belgian furniture industry amounted to 1,106 million euros, a </w:t>
      </w:r>
      <w:r>
        <w:rPr>
          <w:rFonts w:asciiTheme="minorHAnsi" w:hAnsiTheme="minorHAnsi"/>
          <w:noProof w:val="0"/>
        </w:rPr>
        <w:t>drop</w:t>
      </w:r>
      <w:r w:rsidRPr="00A65462">
        <w:rPr>
          <w:rFonts w:asciiTheme="minorHAnsi" w:hAnsiTheme="minorHAnsi"/>
          <w:noProof w:val="0"/>
        </w:rPr>
        <w:t xml:space="preserve"> of 5.6% compared with the first half of 2022. During the same period, however, output prices increased by 6.2%, so in real terms (volume), we recorded a de-facto fall in turnover of 11.8%. In 2022, the fall in turnover over the year amounted to 0.4%.</w:t>
      </w:r>
    </w:p>
    <w:p w14:paraId="08F8C06B" w14:textId="77777777" w:rsidR="004701F4" w:rsidRPr="00A65462" w:rsidRDefault="004701F4" w:rsidP="004701F4">
      <w:pPr>
        <w:pStyle w:val="BodyText"/>
        <w:rPr>
          <w:rFonts w:asciiTheme="minorHAnsi" w:hAnsiTheme="minorHAnsi" w:cstheme="minorHAnsi"/>
          <w:noProof w:val="0"/>
          <w:szCs w:val="22"/>
        </w:rPr>
      </w:pPr>
    </w:p>
    <w:p w14:paraId="49FA6C03" w14:textId="77777777" w:rsidR="004701F4" w:rsidRPr="00A65462" w:rsidRDefault="004701F4" w:rsidP="004701F4">
      <w:pPr>
        <w:pStyle w:val="BodyText"/>
        <w:rPr>
          <w:rFonts w:asciiTheme="minorHAnsi" w:hAnsiTheme="minorHAnsi" w:cstheme="minorBidi"/>
          <w:noProof w:val="0"/>
        </w:rPr>
      </w:pPr>
      <w:r w:rsidRPr="00A65462">
        <w:rPr>
          <w:rFonts w:asciiTheme="minorHAnsi" w:hAnsiTheme="minorHAnsi"/>
          <w:noProof w:val="0"/>
        </w:rPr>
        <w:t xml:space="preserve">These price increases can be attributed to increased raw material, material, energy and wage costs. </w:t>
      </w:r>
    </w:p>
    <w:p w14:paraId="270E9033" w14:textId="77777777" w:rsidR="004701F4" w:rsidRPr="00A65462" w:rsidRDefault="004701F4" w:rsidP="004701F4">
      <w:pPr>
        <w:pStyle w:val="BodyText"/>
        <w:rPr>
          <w:rFonts w:asciiTheme="minorHAnsi" w:hAnsiTheme="minorHAnsi" w:cstheme="minorHAnsi"/>
          <w:noProof w:val="0"/>
          <w:szCs w:val="22"/>
        </w:rPr>
      </w:pPr>
    </w:p>
    <w:p w14:paraId="74BEB796" w14:textId="77777777" w:rsidR="004701F4" w:rsidRPr="00A65462" w:rsidRDefault="004701F4" w:rsidP="004701F4">
      <w:pPr>
        <w:pStyle w:val="BodyText"/>
        <w:rPr>
          <w:rFonts w:asciiTheme="minorHAnsi" w:hAnsiTheme="minorHAnsi" w:cstheme="minorBidi"/>
          <w:noProof w:val="0"/>
        </w:rPr>
      </w:pPr>
      <w:r w:rsidRPr="00A65462">
        <w:rPr>
          <w:rFonts w:asciiTheme="minorHAnsi" w:hAnsiTheme="minorHAnsi"/>
          <w:noProof w:val="0"/>
        </w:rPr>
        <w:t>Following a marked increase in turnover in 2022, office and shop furniture saw a fall of 4.1% in the first half of 2023, while turnover for home furniture fell by 4.7%. The first half of 2022 still saw a modest increase of 1.9%. Kitchen furniture is stabilising partly because fewer and fewer permits are being issued for new homes. The higher interest rate for home loans is certainly related to this. Turnover in mattress and bed base products fell significantly and the insolvency of one major Belgian producer earlier this year will have certainly been a factor in this.</w:t>
      </w:r>
    </w:p>
    <w:p w14:paraId="5395E522" w14:textId="77777777" w:rsidR="004701F4" w:rsidRPr="00A65462" w:rsidRDefault="004701F4" w:rsidP="004701F4">
      <w:pPr>
        <w:pStyle w:val="BodyText"/>
        <w:rPr>
          <w:rFonts w:asciiTheme="minorHAnsi" w:hAnsiTheme="minorHAnsi" w:cstheme="minorHAnsi"/>
          <w:noProof w:val="0"/>
          <w:highlight w:val="yellow"/>
        </w:rPr>
      </w:pPr>
    </w:p>
    <w:p w14:paraId="38843C11" w14:textId="77777777" w:rsidR="004701F4" w:rsidRPr="00A65462" w:rsidRDefault="004701F4" w:rsidP="004701F4">
      <w:pPr>
        <w:rPr>
          <w:rFonts w:cstheme="minorHAnsi"/>
          <w:sz w:val="16"/>
          <w:szCs w:val="10"/>
        </w:rPr>
      </w:pPr>
      <w:r w:rsidRPr="00A65462">
        <w:rPr>
          <w:noProof/>
          <w:sz w:val="16"/>
          <w:szCs w:val="10"/>
          <w:lang w:eastAsia="en-GB"/>
        </w:rPr>
        <w:drawing>
          <wp:inline distT="0" distB="0" distL="0" distR="0" wp14:anchorId="2F1C6CB0" wp14:editId="7082552E">
            <wp:extent cx="5760085" cy="2464661"/>
            <wp:effectExtent l="0" t="0" r="12065" b="12065"/>
            <wp:docPr id="3" name="Grafiek 3">
              <a:extLst xmlns:a="http://schemas.openxmlformats.org/drawingml/2006/main">
                <a:ext uri="{FF2B5EF4-FFF2-40B4-BE49-F238E27FC236}">
                  <a16:creationId xmlns:a16="http://schemas.microsoft.com/office/drawing/2014/main" id="{47FC0CF9-1876-4E1B-8F9F-3372821FE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013589" w14:textId="77777777" w:rsidR="004701F4" w:rsidRPr="004701F4" w:rsidRDefault="004701F4" w:rsidP="004701F4">
      <w:pPr>
        <w:ind w:firstLine="567"/>
        <w:rPr>
          <w:rFonts w:cstheme="minorHAnsi"/>
          <w:sz w:val="16"/>
          <w:szCs w:val="10"/>
          <w:lang w:val="en-GB"/>
        </w:rPr>
      </w:pPr>
      <w:r w:rsidRPr="004701F4">
        <w:rPr>
          <w:sz w:val="16"/>
          <w:lang w:val="en-GB"/>
        </w:rPr>
        <w:t>Source: FPS Economy, VAT returns</w:t>
      </w:r>
    </w:p>
    <w:p w14:paraId="7D6FAF0B" w14:textId="77777777" w:rsidR="004701F4" w:rsidRPr="004701F4" w:rsidRDefault="004701F4" w:rsidP="004701F4">
      <w:pPr>
        <w:rPr>
          <w:rFonts w:cstheme="minorHAnsi"/>
          <w:lang w:val="en-GB"/>
        </w:rPr>
      </w:pPr>
      <w:r w:rsidRPr="004701F4">
        <w:rPr>
          <w:lang w:val="en-GB"/>
        </w:rPr>
        <w:br w:type="page"/>
      </w:r>
    </w:p>
    <w:p w14:paraId="1D950F36" w14:textId="77777777" w:rsidR="004701F4" w:rsidRPr="00A65462" w:rsidRDefault="004701F4" w:rsidP="004701F4">
      <w:pPr>
        <w:pStyle w:val="BodyText"/>
        <w:rPr>
          <w:rFonts w:asciiTheme="minorHAnsi" w:hAnsiTheme="minorHAnsi" w:cstheme="minorHAnsi"/>
          <w:b/>
          <w:bCs/>
          <w:noProof w:val="0"/>
          <w:u w:val="single"/>
        </w:rPr>
      </w:pPr>
      <w:r w:rsidRPr="00A65462">
        <w:rPr>
          <w:rFonts w:asciiTheme="minorHAnsi" w:hAnsiTheme="minorHAnsi"/>
          <w:b/>
          <w:noProof w:val="0"/>
          <w:u w:val="single"/>
        </w:rPr>
        <w:lastRenderedPageBreak/>
        <w:t>Investments and production capacity utilisation rate</w:t>
      </w:r>
    </w:p>
    <w:p w14:paraId="7A754A4E" w14:textId="77777777" w:rsidR="004701F4" w:rsidRPr="00A65462" w:rsidRDefault="004701F4" w:rsidP="004701F4">
      <w:pPr>
        <w:pStyle w:val="BodyText"/>
        <w:rPr>
          <w:rFonts w:asciiTheme="minorHAnsi" w:hAnsiTheme="minorHAnsi" w:cstheme="minorHAnsi"/>
          <w:noProof w:val="0"/>
          <w:sz w:val="20"/>
        </w:rPr>
      </w:pPr>
    </w:p>
    <w:p w14:paraId="00B07B51" w14:textId="77777777" w:rsidR="004701F4" w:rsidRPr="00A65462" w:rsidRDefault="004701F4" w:rsidP="004701F4">
      <w:pPr>
        <w:pStyle w:val="BodyText"/>
        <w:rPr>
          <w:rFonts w:asciiTheme="minorHAnsi" w:hAnsiTheme="minorHAnsi" w:cstheme="minorBidi"/>
          <w:noProof w:val="0"/>
        </w:rPr>
      </w:pPr>
      <w:r w:rsidRPr="00A65462">
        <w:rPr>
          <w:rFonts w:asciiTheme="minorHAnsi" w:hAnsiTheme="minorHAnsi"/>
          <w:noProof w:val="0"/>
        </w:rPr>
        <w:t xml:space="preserve">During the first half of 2023, the Belgian furniture industry invested EUR 48.2 million, an increase of 30.6% compared with the same period in 2022; a total of EUR 86.1 million was invested in 2022, an increase of 15.4% compared with 2021. The significant investment volume seems to reflect the regained confidence of </w:t>
      </w:r>
      <w:r>
        <w:rPr>
          <w:rFonts w:asciiTheme="minorHAnsi" w:hAnsiTheme="minorHAnsi"/>
          <w:noProof w:val="0"/>
        </w:rPr>
        <w:t>producers</w:t>
      </w:r>
      <w:r w:rsidRPr="00A65462">
        <w:rPr>
          <w:rFonts w:asciiTheme="minorHAnsi" w:hAnsiTheme="minorHAnsi"/>
          <w:noProof w:val="0"/>
        </w:rPr>
        <w:t xml:space="preserve"> in the future. </w:t>
      </w:r>
    </w:p>
    <w:p w14:paraId="0D7771F9" w14:textId="77777777" w:rsidR="004701F4" w:rsidRPr="00A65462" w:rsidRDefault="004701F4" w:rsidP="004701F4">
      <w:pPr>
        <w:pStyle w:val="BodyText"/>
        <w:rPr>
          <w:rFonts w:asciiTheme="minorHAnsi" w:hAnsiTheme="minorHAnsi" w:cstheme="minorHAnsi"/>
          <w:noProof w:val="0"/>
        </w:rPr>
      </w:pPr>
    </w:p>
    <w:p w14:paraId="3A5C22FE" w14:textId="77777777" w:rsidR="004701F4" w:rsidRPr="00A65462" w:rsidRDefault="004701F4" w:rsidP="004701F4">
      <w:pPr>
        <w:pStyle w:val="BodyText"/>
        <w:rPr>
          <w:rFonts w:asciiTheme="minorHAnsi" w:hAnsiTheme="minorHAnsi" w:cstheme="minorBidi"/>
          <w:noProof w:val="0"/>
        </w:rPr>
      </w:pPr>
      <w:r w:rsidRPr="00A65462">
        <w:rPr>
          <w:rFonts w:asciiTheme="minorHAnsi" w:hAnsiTheme="minorHAnsi"/>
          <w:noProof w:val="0"/>
        </w:rPr>
        <w:t xml:space="preserve">Producers of office and shop furniture, as well as of kitchens, invested considerably during the first 6 months of 2023, while the home furniture product group also saw a considerable increase in investment. The mattresses and bed bases product group saw a sharp fall in investment, however. </w:t>
      </w:r>
    </w:p>
    <w:p w14:paraId="7BB73ED4" w14:textId="77777777" w:rsidR="004701F4" w:rsidRPr="00A65462" w:rsidRDefault="004701F4" w:rsidP="004701F4">
      <w:pPr>
        <w:pStyle w:val="BodyText"/>
        <w:rPr>
          <w:rFonts w:asciiTheme="minorHAnsi" w:hAnsiTheme="minorHAnsi" w:cstheme="minorHAnsi"/>
          <w:noProof w:val="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67"/>
        <w:gridCol w:w="851"/>
        <w:gridCol w:w="850"/>
        <w:gridCol w:w="992"/>
        <w:gridCol w:w="993"/>
        <w:gridCol w:w="1134"/>
        <w:gridCol w:w="1275"/>
      </w:tblGrid>
      <w:tr w:rsidR="004701F4" w:rsidRPr="00E12635" w14:paraId="4A42B770" w14:textId="77777777" w:rsidTr="005621E7">
        <w:tc>
          <w:tcPr>
            <w:tcW w:w="9062" w:type="dxa"/>
            <w:gridSpan w:val="7"/>
            <w:shd w:val="clear" w:color="auto" w:fill="FFC000"/>
            <w:tcMar>
              <w:top w:w="15" w:type="dxa"/>
              <w:left w:w="70" w:type="dxa"/>
              <w:bottom w:w="0" w:type="dxa"/>
              <w:right w:w="70" w:type="dxa"/>
            </w:tcMar>
            <w:vAlign w:val="center"/>
            <w:hideMark/>
          </w:tcPr>
          <w:p w14:paraId="3FF2375D" w14:textId="77777777" w:rsidR="004701F4" w:rsidRPr="00A65462" w:rsidRDefault="004701F4" w:rsidP="005621E7">
            <w:pPr>
              <w:pStyle w:val="BodyText"/>
              <w:jc w:val="center"/>
              <w:rPr>
                <w:rFonts w:asciiTheme="minorHAnsi" w:hAnsiTheme="minorHAnsi" w:cstheme="minorHAnsi"/>
                <w:noProof w:val="0"/>
                <w:sz w:val="20"/>
              </w:rPr>
            </w:pPr>
            <w:bookmarkStart w:id="0" w:name="_Hlk148967022"/>
            <w:r w:rsidRPr="00A65462">
              <w:rPr>
                <w:rFonts w:asciiTheme="minorHAnsi" w:hAnsiTheme="minorHAnsi"/>
                <w:b/>
                <w:noProof w:val="0"/>
                <w:sz w:val="20"/>
              </w:rPr>
              <w:t>Development of investments in the furniture industry</w:t>
            </w:r>
          </w:p>
        </w:tc>
      </w:tr>
      <w:tr w:rsidR="004701F4" w:rsidRPr="00A65462" w14:paraId="42B88AE8" w14:textId="77777777" w:rsidTr="005621E7">
        <w:tc>
          <w:tcPr>
            <w:tcW w:w="2967" w:type="dxa"/>
            <w:shd w:val="clear" w:color="auto" w:fill="auto"/>
            <w:tcMar>
              <w:top w:w="15" w:type="dxa"/>
              <w:left w:w="70" w:type="dxa"/>
              <w:bottom w:w="0" w:type="dxa"/>
              <w:right w:w="70" w:type="dxa"/>
            </w:tcMar>
            <w:vAlign w:val="center"/>
            <w:hideMark/>
          </w:tcPr>
          <w:p w14:paraId="7C84168E" w14:textId="77777777" w:rsidR="004701F4" w:rsidRPr="00A65462" w:rsidRDefault="004701F4" w:rsidP="005621E7">
            <w:pPr>
              <w:pStyle w:val="BodyText"/>
              <w:jc w:val="center"/>
              <w:rPr>
                <w:rFonts w:asciiTheme="minorHAnsi" w:hAnsiTheme="minorHAnsi" w:cstheme="minorHAnsi"/>
                <w:b/>
                <w:noProof w:val="0"/>
                <w:sz w:val="20"/>
              </w:rPr>
            </w:pPr>
            <w:r w:rsidRPr="00A65462">
              <w:rPr>
                <w:rFonts w:asciiTheme="minorHAnsi" w:hAnsiTheme="minorHAnsi"/>
                <w:b/>
                <w:noProof w:val="0"/>
                <w:sz w:val="20"/>
              </w:rPr>
              <w:t>In EUR millions</w:t>
            </w:r>
          </w:p>
        </w:tc>
        <w:tc>
          <w:tcPr>
            <w:tcW w:w="851" w:type="dxa"/>
            <w:shd w:val="clear" w:color="auto" w:fill="auto"/>
            <w:tcMar>
              <w:top w:w="15" w:type="dxa"/>
              <w:left w:w="70" w:type="dxa"/>
              <w:bottom w:w="0" w:type="dxa"/>
              <w:right w:w="70" w:type="dxa"/>
            </w:tcMar>
            <w:vAlign w:val="center"/>
            <w:hideMark/>
          </w:tcPr>
          <w:p w14:paraId="726241BD"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2021</w:t>
            </w:r>
          </w:p>
        </w:tc>
        <w:tc>
          <w:tcPr>
            <w:tcW w:w="850" w:type="dxa"/>
            <w:shd w:val="clear" w:color="auto" w:fill="auto"/>
            <w:tcMar>
              <w:top w:w="15" w:type="dxa"/>
              <w:left w:w="70" w:type="dxa"/>
              <w:bottom w:w="0" w:type="dxa"/>
              <w:right w:w="70" w:type="dxa"/>
            </w:tcMar>
            <w:vAlign w:val="center"/>
            <w:hideMark/>
          </w:tcPr>
          <w:p w14:paraId="3E80EF1D"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2022</w:t>
            </w:r>
          </w:p>
        </w:tc>
        <w:tc>
          <w:tcPr>
            <w:tcW w:w="992" w:type="dxa"/>
            <w:shd w:val="clear" w:color="auto" w:fill="auto"/>
            <w:tcMar>
              <w:top w:w="15" w:type="dxa"/>
              <w:left w:w="70" w:type="dxa"/>
              <w:bottom w:w="0" w:type="dxa"/>
              <w:right w:w="70" w:type="dxa"/>
            </w:tcMar>
            <w:vAlign w:val="center"/>
            <w:hideMark/>
          </w:tcPr>
          <w:p w14:paraId="73620453"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22/21</w:t>
            </w:r>
          </w:p>
        </w:tc>
        <w:tc>
          <w:tcPr>
            <w:tcW w:w="993" w:type="dxa"/>
            <w:shd w:val="clear" w:color="auto" w:fill="auto"/>
            <w:tcMar>
              <w:top w:w="15" w:type="dxa"/>
              <w:left w:w="70" w:type="dxa"/>
              <w:bottom w:w="0" w:type="dxa"/>
              <w:right w:w="70" w:type="dxa"/>
            </w:tcMar>
            <w:vAlign w:val="center"/>
            <w:hideMark/>
          </w:tcPr>
          <w:p w14:paraId="124CC75C"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6 m 22</w:t>
            </w:r>
          </w:p>
        </w:tc>
        <w:tc>
          <w:tcPr>
            <w:tcW w:w="1134" w:type="dxa"/>
            <w:shd w:val="clear" w:color="auto" w:fill="auto"/>
            <w:tcMar>
              <w:top w:w="15" w:type="dxa"/>
              <w:left w:w="70" w:type="dxa"/>
              <w:bottom w:w="0" w:type="dxa"/>
              <w:right w:w="70" w:type="dxa"/>
            </w:tcMar>
            <w:vAlign w:val="center"/>
            <w:hideMark/>
          </w:tcPr>
          <w:p w14:paraId="2688DAC8"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6 m 23*</w:t>
            </w:r>
          </w:p>
        </w:tc>
        <w:tc>
          <w:tcPr>
            <w:tcW w:w="1275" w:type="dxa"/>
            <w:shd w:val="clear" w:color="auto" w:fill="auto"/>
            <w:tcMar>
              <w:top w:w="15" w:type="dxa"/>
              <w:left w:w="70" w:type="dxa"/>
              <w:bottom w:w="0" w:type="dxa"/>
              <w:right w:w="70" w:type="dxa"/>
            </w:tcMar>
            <w:vAlign w:val="center"/>
            <w:hideMark/>
          </w:tcPr>
          <w:p w14:paraId="6B3DF3A2"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6 m 23/22*</w:t>
            </w:r>
          </w:p>
        </w:tc>
      </w:tr>
      <w:tr w:rsidR="004701F4" w:rsidRPr="00A65462" w14:paraId="034644CB" w14:textId="77777777" w:rsidTr="005621E7">
        <w:tc>
          <w:tcPr>
            <w:tcW w:w="2967" w:type="dxa"/>
            <w:shd w:val="clear" w:color="auto" w:fill="auto"/>
            <w:tcMar>
              <w:top w:w="15" w:type="dxa"/>
              <w:left w:w="70" w:type="dxa"/>
              <w:bottom w:w="0" w:type="dxa"/>
              <w:right w:w="70" w:type="dxa"/>
            </w:tcMar>
            <w:vAlign w:val="center"/>
            <w:hideMark/>
          </w:tcPr>
          <w:p w14:paraId="3CB5C644" w14:textId="77777777" w:rsidR="004701F4" w:rsidRPr="00A65462" w:rsidRDefault="004701F4" w:rsidP="005621E7">
            <w:pPr>
              <w:pStyle w:val="BodyText"/>
              <w:jc w:val="left"/>
              <w:rPr>
                <w:rFonts w:asciiTheme="minorHAnsi" w:hAnsiTheme="minorHAnsi" w:cstheme="minorHAnsi"/>
                <w:noProof w:val="0"/>
                <w:sz w:val="20"/>
              </w:rPr>
            </w:pPr>
            <w:r w:rsidRPr="00A65462">
              <w:rPr>
                <w:rFonts w:asciiTheme="minorHAnsi" w:hAnsiTheme="minorHAnsi"/>
                <w:noProof w:val="0"/>
                <w:sz w:val="20"/>
              </w:rPr>
              <w:t>Chairs and seating, dining room, bedroom, garden and patio furniture</w:t>
            </w:r>
          </w:p>
        </w:tc>
        <w:tc>
          <w:tcPr>
            <w:tcW w:w="851" w:type="dxa"/>
            <w:shd w:val="clear" w:color="auto" w:fill="auto"/>
            <w:tcMar>
              <w:top w:w="15" w:type="dxa"/>
              <w:left w:w="70" w:type="dxa"/>
              <w:bottom w:w="0" w:type="dxa"/>
              <w:right w:w="70" w:type="dxa"/>
            </w:tcMar>
            <w:vAlign w:val="center"/>
          </w:tcPr>
          <w:p w14:paraId="2483EC55" w14:textId="77777777" w:rsidR="004701F4" w:rsidRPr="00A65462" w:rsidRDefault="004701F4" w:rsidP="005621E7">
            <w:pPr>
              <w:pStyle w:val="BodyText"/>
              <w:jc w:val="right"/>
              <w:rPr>
                <w:rFonts w:asciiTheme="minorHAnsi" w:hAnsiTheme="minorHAnsi" w:cstheme="minorBidi"/>
                <w:noProof w:val="0"/>
                <w:sz w:val="20"/>
              </w:rPr>
            </w:pPr>
            <w:r w:rsidRPr="00A65462">
              <w:rPr>
                <w:rFonts w:asciiTheme="minorHAnsi" w:hAnsiTheme="minorHAnsi"/>
                <w:noProof w:val="0"/>
                <w:sz w:val="20"/>
              </w:rPr>
              <w:t>40.0</w:t>
            </w:r>
          </w:p>
        </w:tc>
        <w:tc>
          <w:tcPr>
            <w:tcW w:w="850" w:type="dxa"/>
            <w:shd w:val="clear" w:color="auto" w:fill="auto"/>
            <w:tcMar>
              <w:top w:w="15" w:type="dxa"/>
              <w:left w:w="70" w:type="dxa"/>
              <w:bottom w:w="0" w:type="dxa"/>
              <w:right w:w="70" w:type="dxa"/>
            </w:tcMar>
            <w:vAlign w:val="center"/>
          </w:tcPr>
          <w:p w14:paraId="740E333F" w14:textId="77777777" w:rsidR="004701F4" w:rsidRPr="00A65462" w:rsidRDefault="004701F4" w:rsidP="005621E7">
            <w:pPr>
              <w:pStyle w:val="BodyText"/>
              <w:jc w:val="right"/>
              <w:rPr>
                <w:rFonts w:asciiTheme="minorHAnsi" w:hAnsiTheme="minorHAnsi" w:cstheme="minorBidi"/>
                <w:noProof w:val="0"/>
                <w:sz w:val="20"/>
              </w:rPr>
            </w:pPr>
            <w:r w:rsidRPr="00A65462">
              <w:rPr>
                <w:rFonts w:asciiTheme="minorHAnsi" w:hAnsiTheme="minorHAnsi"/>
                <w:noProof w:val="0"/>
                <w:sz w:val="20"/>
              </w:rPr>
              <w:t>43.9</w:t>
            </w:r>
          </w:p>
        </w:tc>
        <w:tc>
          <w:tcPr>
            <w:tcW w:w="992" w:type="dxa"/>
            <w:shd w:val="clear" w:color="auto" w:fill="auto"/>
            <w:tcMar>
              <w:top w:w="15" w:type="dxa"/>
              <w:left w:w="70" w:type="dxa"/>
              <w:bottom w:w="0" w:type="dxa"/>
              <w:right w:w="70" w:type="dxa"/>
            </w:tcMar>
            <w:vAlign w:val="center"/>
            <w:hideMark/>
          </w:tcPr>
          <w:p w14:paraId="5FD0E4D5"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+9.8%</w:t>
            </w:r>
          </w:p>
        </w:tc>
        <w:tc>
          <w:tcPr>
            <w:tcW w:w="993" w:type="dxa"/>
            <w:shd w:val="clear" w:color="auto" w:fill="auto"/>
            <w:tcMar>
              <w:top w:w="15" w:type="dxa"/>
              <w:left w:w="70" w:type="dxa"/>
              <w:bottom w:w="0" w:type="dxa"/>
              <w:right w:w="70" w:type="dxa"/>
            </w:tcMar>
            <w:vAlign w:val="center"/>
          </w:tcPr>
          <w:p w14:paraId="6BE79D69" w14:textId="77777777" w:rsidR="004701F4" w:rsidRPr="00A65462" w:rsidRDefault="004701F4" w:rsidP="005621E7">
            <w:pPr>
              <w:pStyle w:val="BodyText"/>
              <w:jc w:val="right"/>
              <w:rPr>
                <w:rFonts w:asciiTheme="minorHAnsi" w:hAnsiTheme="minorHAnsi" w:cstheme="minorBidi"/>
                <w:noProof w:val="0"/>
                <w:sz w:val="20"/>
              </w:rPr>
            </w:pPr>
            <w:r w:rsidRPr="00A65462">
              <w:rPr>
                <w:rFonts w:asciiTheme="minorHAnsi" w:hAnsiTheme="minorHAnsi"/>
                <w:noProof w:val="0"/>
                <w:sz w:val="20"/>
              </w:rPr>
              <w:t>19.0</w:t>
            </w:r>
          </w:p>
        </w:tc>
        <w:tc>
          <w:tcPr>
            <w:tcW w:w="1134" w:type="dxa"/>
            <w:shd w:val="clear" w:color="auto" w:fill="auto"/>
            <w:tcMar>
              <w:top w:w="15" w:type="dxa"/>
              <w:left w:w="70" w:type="dxa"/>
              <w:bottom w:w="0" w:type="dxa"/>
              <w:right w:w="70" w:type="dxa"/>
            </w:tcMar>
            <w:vAlign w:val="center"/>
          </w:tcPr>
          <w:p w14:paraId="2F8EC3C6" w14:textId="77777777" w:rsidR="004701F4" w:rsidRPr="00A65462" w:rsidRDefault="004701F4" w:rsidP="005621E7">
            <w:pPr>
              <w:pStyle w:val="BodyText"/>
              <w:jc w:val="right"/>
              <w:rPr>
                <w:rFonts w:asciiTheme="minorHAnsi" w:hAnsiTheme="minorHAnsi" w:cstheme="minorBidi"/>
                <w:noProof w:val="0"/>
                <w:sz w:val="20"/>
              </w:rPr>
            </w:pPr>
            <w:r w:rsidRPr="00A65462">
              <w:rPr>
                <w:rFonts w:asciiTheme="minorHAnsi" w:hAnsiTheme="minorHAnsi"/>
                <w:noProof w:val="0"/>
                <w:sz w:val="20"/>
              </w:rPr>
              <w:t>24.0</w:t>
            </w:r>
          </w:p>
        </w:tc>
        <w:tc>
          <w:tcPr>
            <w:tcW w:w="1275" w:type="dxa"/>
            <w:shd w:val="clear" w:color="auto" w:fill="auto"/>
            <w:tcMar>
              <w:top w:w="15" w:type="dxa"/>
              <w:left w:w="70" w:type="dxa"/>
              <w:bottom w:w="0" w:type="dxa"/>
              <w:right w:w="70" w:type="dxa"/>
            </w:tcMar>
            <w:vAlign w:val="center"/>
            <w:hideMark/>
          </w:tcPr>
          <w:p w14:paraId="12F95BDF"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+26.3%</w:t>
            </w:r>
          </w:p>
        </w:tc>
      </w:tr>
      <w:tr w:rsidR="004701F4" w:rsidRPr="00A65462" w14:paraId="12813F71" w14:textId="77777777" w:rsidTr="005621E7">
        <w:tc>
          <w:tcPr>
            <w:tcW w:w="2967" w:type="dxa"/>
            <w:shd w:val="clear" w:color="auto" w:fill="auto"/>
            <w:tcMar>
              <w:top w:w="15" w:type="dxa"/>
              <w:left w:w="70" w:type="dxa"/>
              <w:bottom w:w="0" w:type="dxa"/>
              <w:right w:w="70" w:type="dxa"/>
            </w:tcMar>
            <w:vAlign w:val="center"/>
            <w:hideMark/>
          </w:tcPr>
          <w:p w14:paraId="39C9DDDD" w14:textId="77777777" w:rsidR="004701F4" w:rsidRPr="00A65462" w:rsidRDefault="004701F4" w:rsidP="005621E7">
            <w:pPr>
              <w:pStyle w:val="BodyText"/>
              <w:rPr>
                <w:rFonts w:asciiTheme="minorHAnsi" w:hAnsiTheme="minorHAnsi" w:cstheme="minorHAnsi"/>
                <w:noProof w:val="0"/>
                <w:sz w:val="20"/>
              </w:rPr>
            </w:pPr>
            <w:r w:rsidRPr="00A65462">
              <w:rPr>
                <w:rFonts w:asciiTheme="minorHAnsi" w:hAnsiTheme="minorHAnsi"/>
                <w:noProof w:val="0"/>
                <w:sz w:val="20"/>
              </w:rPr>
              <w:t>Office and shop furniture</w:t>
            </w:r>
          </w:p>
        </w:tc>
        <w:tc>
          <w:tcPr>
            <w:tcW w:w="851" w:type="dxa"/>
            <w:shd w:val="clear" w:color="auto" w:fill="auto"/>
            <w:tcMar>
              <w:top w:w="15" w:type="dxa"/>
              <w:left w:w="70" w:type="dxa"/>
              <w:bottom w:w="0" w:type="dxa"/>
              <w:right w:w="70" w:type="dxa"/>
            </w:tcMar>
            <w:vAlign w:val="center"/>
          </w:tcPr>
          <w:p w14:paraId="10513105" w14:textId="77777777" w:rsidR="004701F4" w:rsidRPr="00A65462" w:rsidRDefault="004701F4" w:rsidP="005621E7">
            <w:pPr>
              <w:pStyle w:val="BodyText"/>
              <w:jc w:val="right"/>
              <w:rPr>
                <w:rFonts w:asciiTheme="minorHAnsi" w:hAnsiTheme="minorHAnsi" w:cstheme="minorBidi"/>
                <w:noProof w:val="0"/>
                <w:sz w:val="20"/>
              </w:rPr>
            </w:pPr>
            <w:r w:rsidRPr="00A65462">
              <w:rPr>
                <w:rFonts w:asciiTheme="minorHAnsi" w:hAnsiTheme="minorHAnsi"/>
                <w:noProof w:val="0"/>
                <w:sz w:val="20"/>
              </w:rPr>
              <w:t>10.2</w:t>
            </w:r>
          </w:p>
        </w:tc>
        <w:tc>
          <w:tcPr>
            <w:tcW w:w="850" w:type="dxa"/>
            <w:shd w:val="clear" w:color="auto" w:fill="auto"/>
            <w:tcMar>
              <w:top w:w="15" w:type="dxa"/>
              <w:left w:w="70" w:type="dxa"/>
              <w:bottom w:w="0" w:type="dxa"/>
              <w:right w:w="70" w:type="dxa"/>
            </w:tcMar>
            <w:vAlign w:val="center"/>
          </w:tcPr>
          <w:p w14:paraId="15D24D1C" w14:textId="77777777" w:rsidR="004701F4" w:rsidRPr="00A65462" w:rsidRDefault="004701F4" w:rsidP="005621E7">
            <w:pPr>
              <w:pStyle w:val="BodyText"/>
              <w:jc w:val="right"/>
              <w:rPr>
                <w:rFonts w:asciiTheme="minorHAnsi" w:hAnsiTheme="minorHAnsi" w:cstheme="minorBidi"/>
                <w:noProof w:val="0"/>
                <w:sz w:val="20"/>
              </w:rPr>
            </w:pPr>
            <w:r w:rsidRPr="00A65462">
              <w:rPr>
                <w:rFonts w:asciiTheme="minorHAnsi" w:hAnsiTheme="minorHAnsi"/>
                <w:noProof w:val="0"/>
                <w:sz w:val="20"/>
              </w:rPr>
              <w:t>12.0</w:t>
            </w:r>
          </w:p>
        </w:tc>
        <w:tc>
          <w:tcPr>
            <w:tcW w:w="992" w:type="dxa"/>
            <w:shd w:val="clear" w:color="auto" w:fill="auto"/>
            <w:tcMar>
              <w:top w:w="15" w:type="dxa"/>
              <w:left w:w="70" w:type="dxa"/>
              <w:bottom w:w="0" w:type="dxa"/>
              <w:right w:w="70" w:type="dxa"/>
            </w:tcMar>
            <w:vAlign w:val="center"/>
            <w:hideMark/>
          </w:tcPr>
          <w:p w14:paraId="3FE4D8CE"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+17.6%</w:t>
            </w:r>
          </w:p>
        </w:tc>
        <w:tc>
          <w:tcPr>
            <w:tcW w:w="993" w:type="dxa"/>
            <w:shd w:val="clear" w:color="auto" w:fill="auto"/>
            <w:tcMar>
              <w:top w:w="15" w:type="dxa"/>
              <w:left w:w="70" w:type="dxa"/>
              <w:bottom w:w="0" w:type="dxa"/>
              <w:right w:w="70" w:type="dxa"/>
            </w:tcMar>
            <w:vAlign w:val="center"/>
          </w:tcPr>
          <w:p w14:paraId="495E2210" w14:textId="77777777" w:rsidR="004701F4" w:rsidRPr="00A65462" w:rsidRDefault="004701F4" w:rsidP="005621E7">
            <w:pPr>
              <w:pStyle w:val="BodyText"/>
              <w:jc w:val="right"/>
              <w:rPr>
                <w:rFonts w:asciiTheme="minorHAnsi" w:hAnsiTheme="minorHAnsi" w:cstheme="minorBidi"/>
                <w:noProof w:val="0"/>
                <w:sz w:val="20"/>
              </w:rPr>
            </w:pPr>
            <w:r w:rsidRPr="00A65462">
              <w:rPr>
                <w:rFonts w:asciiTheme="minorHAnsi" w:hAnsiTheme="minorHAnsi"/>
                <w:noProof w:val="0"/>
                <w:sz w:val="20"/>
              </w:rPr>
              <w:t>5.4</w:t>
            </w:r>
          </w:p>
        </w:tc>
        <w:tc>
          <w:tcPr>
            <w:tcW w:w="1134" w:type="dxa"/>
            <w:shd w:val="clear" w:color="auto" w:fill="auto"/>
            <w:tcMar>
              <w:top w:w="15" w:type="dxa"/>
              <w:left w:w="70" w:type="dxa"/>
              <w:bottom w:w="0" w:type="dxa"/>
              <w:right w:w="70" w:type="dxa"/>
            </w:tcMar>
            <w:vAlign w:val="center"/>
          </w:tcPr>
          <w:p w14:paraId="3B4DA7BD" w14:textId="77777777" w:rsidR="004701F4" w:rsidRPr="00A65462" w:rsidRDefault="004701F4" w:rsidP="005621E7">
            <w:pPr>
              <w:pStyle w:val="BodyText"/>
              <w:jc w:val="right"/>
              <w:rPr>
                <w:rFonts w:asciiTheme="minorHAnsi" w:hAnsiTheme="minorHAnsi" w:cstheme="minorBidi"/>
                <w:noProof w:val="0"/>
                <w:sz w:val="20"/>
              </w:rPr>
            </w:pPr>
            <w:r w:rsidRPr="00A65462">
              <w:rPr>
                <w:rFonts w:asciiTheme="minorHAnsi" w:hAnsiTheme="minorHAnsi"/>
                <w:noProof w:val="0"/>
                <w:sz w:val="20"/>
              </w:rPr>
              <w:t>10.1</w:t>
            </w:r>
          </w:p>
        </w:tc>
        <w:tc>
          <w:tcPr>
            <w:tcW w:w="1275" w:type="dxa"/>
            <w:shd w:val="clear" w:color="auto" w:fill="auto"/>
            <w:tcMar>
              <w:top w:w="15" w:type="dxa"/>
              <w:left w:w="70" w:type="dxa"/>
              <w:bottom w:w="0" w:type="dxa"/>
              <w:right w:w="70" w:type="dxa"/>
            </w:tcMar>
            <w:vAlign w:val="center"/>
            <w:hideMark/>
          </w:tcPr>
          <w:p w14:paraId="2D28D507"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+87.0%</w:t>
            </w:r>
          </w:p>
        </w:tc>
      </w:tr>
      <w:tr w:rsidR="004701F4" w:rsidRPr="00A65462" w14:paraId="3E2E327D" w14:textId="77777777" w:rsidTr="005621E7">
        <w:tc>
          <w:tcPr>
            <w:tcW w:w="2967" w:type="dxa"/>
            <w:shd w:val="clear" w:color="auto" w:fill="auto"/>
            <w:tcMar>
              <w:top w:w="15" w:type="dxa"/>
              <w:left w:w="70" w:type="dxa"/>
              <w:bottom w:w="0" w:type="dxa"/>
              <w:right w:w="70" w:type="dxa"/>
            </w:tcMar>
            <w:vAlign w:val="center"/>
            <w:hideMark/>
          </w:tcPr>
          <w:p w14:paraId="036B99FC" w14:textId="77777777" w:rsidR="004701F4" w:rsidRPr="00A65462" w:rsidRDefault="004701F4" w:rsidP="005621E7">
            <w:pPr>
              <w:pStyle w:val="BodyText"/>
              <w:rPr>
                <w:rFonts w:asciiTheme="minorHAnsi" w:hAnsiTheme="minorHAnsi" w:cstheme="minorHAnsi"/>
                <w:noProof w:val="0"/>
                <w:sz w:val="20"/>
              </w:rPr>
            </w:pPr>
            <w:r w:rsidRPr="00A65462">
              <w:rPr>
                <w:rFonts w:asciiTheme="minorHAnsi" w:hAnsiTheme="minorHAnsi"/>
                <w:noProof w:val="0"/>
                <w:sz w:val="20"/>
              </w:rPr>
              <w:t>Kitchen furniture</w:t>
            </w:r>
          </w:p>
        </w:tc>
        <w:tc>
          <w:tcPr>
            <w:tcW w:w="851" w:type="dxa"/>
            <w:shd w:val="clear" w:color="auto" w:fill="auto"/>
            <w:tcMar>
              <w:top w:w="15" w:type="dxa"/>
              <w:left w:w="70" w:type="dxa"/>
              <w:bottom w:w="0" w:type="dxa"/>
              <w:right w:w="70" w:type="dxa"/>
            </w:tcMar>
            <w:vAlign w:val="center"/>
          </w:tcPr>
          <w:p w14:paraId="51FF1A68" w14:textId="77777777" w:rsidR="004701F4" w:rsidRPr="00A65462" w:rsidRDefault="004701F4" w:rsidP="005621E7">
            <w:pPr>
              <w:pStyle w:val="BodyText"/>
              <w:jc w:val="right"/>
              <w:rPr>
                <w:rFonts w:asciiTheme="minorHAnsi" w:hAnsiTheme="minorHAnsi" w:cstheme="minorBidi"/>
                <w:noProof w:val="0"/>
                <w:sz w:val="20"/>
              </w:rPr>
            </w:pPr>
            <w:r w:rsidRPr="00A65462">
              <w:rPr>
                <w:rFonts w:asciiTheme="minorHAnsi" w:hAnsiTheme="minorHAnsi"/>
                <w:noProof w:val="0"/>
                <w:sz w:val="20"/>
              </w:rPr>
              <w:t>17.5</w:t>
            </w:r>
          </w:p>
        </w:tc>
        <w:tc>
          <w:tcPr>
            <w:tcW w:w="850" w:type="dxa"/>
            <w:shd w:val="clear" w:color="auto" w:fill="auto"/>
            <w:tcMar>
              <w:top w:w="15" w:type="dxa"/>
              <w:left w:w="70" w:type="dxa"/>
              <w:bottom w:w="0" w:type="dxa"/>
              <w:right w:w="70" w:type="dxa"/>
            </w:tcMar>
            <w:vAlign w:val="center"/>
          </w:tcPr>
          <w:p w14:paraId="42A4FB05" w14:textId="77777777" w:rsidR="004701F4" w:rsidRPr="00A65462" w:rsidRDefault="004701F4" w:rsidP="005621E7">
            <w:pPr>
              <w:pStyle w:val="BodyText"/>
              <w:jc w:val="right"/>
              <w:rPr>
                <w:rFonts w:asciiTheme="minorHAnsi" w:hAnsiTheme="minorHAnsi" w:cstheme="minorBidi"/>
                <w:noProof w:val="0"/>
                <w:sz w:val="20"/>
              </w:rPr>
            </w:pPr>
            <w:r w:rsidRPr="00A65462">
              <w:rPr>
                <w:rFonts w:asciiTheme="minorHAnsi" w:hAnsiTheme="minorHAnsi"/>
                <w:noProof w:val="0"/>
                <w:sz w:val="20"/>
              </w:rPr>
              <w:t>23.3</w:t>
            </w:r>
          </w:p>
        </w:tc>
        <w:tc>
          <w:tcPr>
            <w:tcW w:w="992" w:type="dxa"/>
            <w:shd w:val="clear" w:color="auto" w:fill="auto"/>
            <w:tcMar>
              <w:top w:w="15" w:type="dxa"/>
              <w:left w:w="70" w:type="dxa"/>
              <w:bottom w:w="0" w:type="dxa"/>
              <w:right w:w="70" w:type="dxa"/>
            </w:tcMar>
            <w:vAlign w:val="center"/>
            <w:hideMark/>
          </w:tcPr>
          <w:p w14:paraId="4E3ED697"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+33.1%</w:t>
            </w:r>
          </w:p>
        </w:tc>
        <w:tc>
          <w:tcPr>
            <w:tcW w:w="993" w:type="dxa"/>
            <w:shd w:val="clear" w:color="auto" w:fill="auto"/>
            <w:tcMar>
              <w:top w:w="15" w:type="dxa"/>
              <w:left w:w="70" w:type="dxa"/>
              <w:bottom w:w="0" w:type="dxa"/>
              <w:right w:w="70" w:type="dxa"/>
            </w:tcMar>
            <w:vAlign w:val="center"/>
          </w:tcPr>
          <w:p w14:paraId="5BBB4EA6" w14:textId="77777777" w:rsidR="004701F4" w:rsidRPr="00A65462" w:rsidRDefault="004701F4" w:rsidP="005621E7">
            <w:pPr>
              <w:pStyle w:val="BodyText"/>
              <w:jc w:val="right"/>
              <w:rPr>
                <w:rFonts w:asciiTheme="minorHAnsi" w:hAnsiTheme="minorHAnsi" w:cstheme="minorBidi"/>
                <w:noProof w:val="0"/>
                <w:sz w:val="20"/>
              </w:rPr>
            </w:pPr>
            <w:r w:rsidRPr="00A65462">
              <w:rPr>
                <w:rFonts w:asciiTheme="minorHAnsi" w:hAnsiTheme="minorHAnsi"/>
                <w:noProof w:val="0"/>
                <w:sz w:val="20"/>
              </w:rPr>
              <w:t>7.8</w:t>
            </w:r>
          </w:p>
        </w:tc>
        <w:tc>
          <w:tcPr>
            <w:tcW w:w="1134" w:type="dxa"/>
            <w:shd w:val="clear" w:color="auto" w:fill="auto"/>
            <w:tcMar>
              <w:top w:w="15" w:type="dxa"/>
              <w:left w:w="70" w:type="dxa"/>
              <w:bottom w:w="0" w:type="dxa"/>
              <w:right w:w="70" w:type="dxa"/>
            </w:tcMar>
            <w:vAlign w:val="center"/>
          </w:tcPr>
          <w:p w14:paraId="3BC51072" w14:textId="77777777" w:rsidR="004701F4" w:rsidRPr="00A65462" w:rsidRDefault="004701F4" w:rsidP="005621E7">
            <w:pPr>
              <w:pStyle w:val="BodyText"/>
              <w:jc w:val="right"/>
              <w:rPr>
                <w:rFonts w:asciiTheme="minorHAnsi" w:hAnsiTheme="minorHAnsi" w:cstheme="minorBidi"/>
                <w:noProof w:val="0"/>
                <w:sz w:val="20"/>
              </w:rPr>
            </w:pPr>
            <w:r w:rsidRPr="00A65462">
              <w:rPr>
                <w:rFonts w:asciiTheme="minorHAnsi" w:hAnsiTheme="minorHAnsi"/>
                <w:noProof w:val="0"/>
                <w:sz w:val="20"/>
              </w:rPr>
              <w:t>13.2</w:t>
            </w:r>
          </w:p>
        </w:tc>
        <w:tc>
          <w:tcPr>
            <w:tcW w:w="1275" w:type="dxa"/>
            <w:shd w:val="clear" w:color="auto" w:fill="auto"/>
            <w:tcMar>
              <w:top w:w="15" w:type="dxa"/>
              <w:left w:w="70" w:type="dxa"/>
              <w:bottom w:w="0" w:type="dxa"/>
              <w:right w:w="70" w:type="dxa"/>
            </w:tcMar>
            <w:vAlign w:val="center"/>
            <w:hideMark/>
          </w:tcPr>
          <w:p w14:paraId="1214AC99"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+69.2%</w:t>
            </w:r>
          </w:p>
        </w:tc>
      </w:tr>
      <w:tr w:rsidR="004701F4" w:rsidRPr="00A65462" w14:paraId="148F6D0A" w14:textId="77777777" w:rsidTr="005621E7">
        <w:tc>
          <w:tcPr>
            <w:tcW w:w="2967" w:type="dxa"/>
            <w:shd w:val="clear" w:color="auto" w:fill="auto"/>
            <w:tcMar>
              <w:top w:w="15" w:type="dxa"/>
              <w:left w:w="70" w:type="dxa"/>
              <w:bottom w:w="0" w:type="dxa"/>
              <w:right w:w="70" w:type="dxa"/>
            </w:tcMar>
            <w:vAlign w:val="center"/>
            <w:hideMark/>
          </w:tcPr>
          <w:p w14:paraId="0D53B523" w14:textId="77777777" w:rsidR="004701F4" w:rsidRPr="00A65462" w:rsidRDefault="004701F4" w:rsidP="005621E7">
            <w:pPr>
              <w:pStyle w:val="BodyText"/>
              <w:rPr>
                <w:rFonts w:asciiTheme="minorHAnsi" w:hAnsiTheme="minorHAnsi" w:cstheme="minorHAnsi"/>
                <w:noProof w:val="0"/>
                <w:sz w:val="20"/>
              </w:rPr>
            </w:pPr>
            <w:r w:rsidRPr="00A65462">
              <w:rPr>
                <w:rFonts w:asciiTheme="minorHAnsi" w:hAnsiTheme="minorHAnsi"/>
                <w:noProof w:val="0"/>
                <w:sz w:val="20"/>
              </w:rPr>
              <w:t>Mattresses and bases</w:t>
            </w:r>
          </w:p>
        </w:tc>
        <w:tc>
          <w:tcPr>
            <w:tcW w:w="851" w:type="dxa"/>
            <w:shd w:val="clear" w:color="auto" w:fill="auto"/>
            <w:tcMar>
              <w:top w:w="15" w:type="dxa"/>
              <w:left w:w="70" w:type="dxa"/>
              <w:bottom w:w="0" w:type="dxa"/>
              <w:right w:w="70" w:type="dxa"/>
            </w:tcMar>
            <w:vAlign w:val="center"/>
          </w:tcPr>
          <w:p w14:paraId="5F58BD61" w14:textId="77777777" w:rsidR="004701F4" w:rsidRPr="00A65462" w:rsidRDefault="004701F4" w:rsidP="005621E7">
            <w:pPr>
              <w:pStyle w:val="BodyText"/>
              <w:jc w:val="right"/>
              <w:rPr>
                <w:rFonts w:asciiTheme="minorHAnsi" w:hAnsiTheme="minorHAnsi" w:cstheme="minorBidi"/>
                <w:noProof w:val="0"/>
                <w:sz w:val="20"/>
              </w:rPr>
            </w:pPr>
            <w:r w:rsidRPr="00A65462">
              <w:rPr>
                <w:rFonts w:asciiTheme="minorHAnsi" w:hAnsiTheme="minorHAnsi"/>
                <w:noProof w:val="0"/>
                <w:sz w:val="20"/>
              </w:rPr>
              <w:t>6.8</w:t>
            </w:r>
          </w:p>
        </w:tc>
        <w:tc>
          <w:tcPr>
            <w:tcW w:w="850" w:type="dxa"/>
            <w:shd w:val="clear" w:color="auto" w:fill="auto"/>
            <w:tcMar>
              <w:top w:w="15" w:type="dxa"/>
              <w:left w:w="70" w:type="dxa"/>
              <w:bottom w:w="0" w:type="dxa"/>
              <w:right w:w="70" w:type="dxa"/>
            </w:tcMar>
            <w:vAlign w:val="center"/>
          </w:tcPr>
          <w:p w14:paraId="6A661EE2" w14:textId="77777777" w:rsidR="004701F4" w:rsidRPr="00A65462" w:rsidRDefault="004701F4" w:rsidP="005621E7">
            <w:pPr>
              <w:pStyle w:val="BodyText"/>
              <w:jc w:val="right"/>
              <w:rPr>
                <w:rFonts w:asciiTheme="minorHAnsi" w:hAnsiTheme="minorHAnsi" w:cstheme="minorBidi"/>
                <w:noProof w:val="0"/>
                <w:sz w:val="20"/>
              </w:rPr>
            </w:pPr>
            <w:r w:rsidRPr="00A65462">
              <w:rPr>
                <w:rFonts w:asciiTheme="minorHAnsi" w:hAnsiTheme="minorHAnsi"/>
                <w:noProof w:val="0"/>
                <w:sz w:val="20"/>
              </w:rPr>
              <w:t>6.9</w:t>
            </w:r>
          </w:p>
        </w:tc>
        <w:tc>
          <w:tcPr>
            <w:tcW w:w="992" w:type="dxa"/>
            <w:shd w:val="clear" w:color="auto" w:fill="auto"/>
            <w:tcMar>
              <w:top w:w="15" w:type="dxa"/>
              <w:left w:w="70" w:type="dxa"/>
              <w:bottom w:w="0" w:type="dxa"/>
              <w:right w:w="70" w:type="dxa"/>
            </w:tcMar>
            <w:vAlign w:val="center"/>
            <w:hideMark/>
          </w:tcPr>
          <w:p w14:paraId="6ABBAC79"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+1.5%</w:t>
            </w:r>
          </w:p>
        </w:tc>
        <w:tc>
          <w:tcPr>
            <w:tcW w:w="993" w:type="dxa"/>
            <w:shd w:val="clear" w:color="auto" w:fill="auto"/>
            <w:tcMar>
              <w:top w:w="15" w:type="dxa"/>
              <w:left w:w="70" w:type="dxa"/>
              <w:bottom w:w="0" w:type="dxa"/>
              <w:right w:w="70" w:type="dxa"/>
            </w:tcMar>
            <w:vAlign w:val="center"/>
          </w:tcPr>
          <w:p w14:paraId="3CD49F22" w14:textId="77777777" w:rsidR="004701F4" w:rsidRPr="00A65462" w:rsidRDefault="004701F4" w:rsidP="005621E7">
            <w:pPr>
              <w:pStyle w:val="BodyText"/>
              <w:jc w:val="right"/>
              <w:rPr>
                <w:rFonts w:asciiTheme="minorHAnsi" w:hAnsiTheme="minorHAnsi" w:cstheme="minorBidi"/>
                <w:noProof w:val="0"/>
                <w:sz w:val="20"/>
              </w:rPr>
            </w:pPr>
            <w:r w:rsidRPr="00A65462">
              <w:rPr>
                <w:rFonts w:asciiTheme="minorHAnsi" w:hAnsiTheme="minorHAnsi"/>
                <w:noProof w:val="0"/>
                <w:sz w:val="20"/>
              </w:rPr>
              <w:t>4.8</w:t>
            </w:r>
          </w:p>
        </w:tc>
        <w:tc>
          <w:tcPr>
            <w:tcW w:w="1134" w:type="dxa"/>
            <w:shd w:val="clear" w:color="auto" w:fill="auto"/>
            <w:tcMar>
              <w:top w:w="15" w:type="dxa"/>
              <w:left w:w="70" w:type="dxa"/>
              <w:bottom w:w="0" w:type="dxa"/>
              <w:right w:w="70" w:type="dxa"/>
            </w:tcMar>
            <w:vAlign w:val="center"/>
          </w:tcPr>
          <w:p w14:paraId="43E9BAE3" w14:textId="77777777" w:rsidR="004701F4" w:rsidRPr="00A65462" w:rsidRDefault="004701F4" w:rsidP="005621E7">
            <w:pPr>
              <w:pStyle w:val="BodyText"/>
              <w:jc w:val="right"/>
              <w:rPr>
                <w:rFonts w:asciiTheme="minorHAnsi" w:hAnsiTheme="minorHAnsi" w:cstheme="minorBidi"/>
                <w:noProof w:val="0"/>
                <w:sz w:val="20"/>
              </w:rPr>
            </w:pPr>
            <w:r w:rsidRPr="00A65462">
              <w:rPr>
                <w:rFonts w:asciiTheme="minorHAnsi" w:hAnsiTheme="minorHAnsi"/>
                <w:noProof w:val="0"/>
                <w:sz w:val="20"/>
              </w:rPr>
              <w:t>1.0</w:t>
            </w:r>
          </w:p>
        </w:tc>
        <w:tc>
          <w:tcPr>
            <w:tcW w:w="1275" w:type="dxa"/>
            <w:shd w:val="clear" w:color="auto" w:fill="auto"/>
            <w:tcMar>
              <w:top w:w="15" w:type="dxa"/>
              <w:left w:w="70" w:type="dxa"/>
              <w:bottom w:w="0" w:type="dxa"/>
              <w:right w:w="70" w:type="dxa"/>
            </w:tcMar>
            <w:vAlign w:val="center"/>
            <w:hideMark/>
          </w:tcPr>
          <w:p w14:paraId="78B360A4"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-79.2%</w:t>
            </w:r>
          </w:p>
        </w:tc>
      </w:tr>
      <w:tr w:rsidR="004701F4" w:rsidRPr="00A65462" w14:paraId="0728A238" w14:textId="77777777" w:rsidTr="005621E7">
        <w:tc>
          <w:tcPr>
            <w:tcW w:w="2967" w:type="dxa"/>
            <w:shd w:val="clear" w:color="auto" w:fill="FFC000"/>
            <w:tcMar>
              <w:top w:w="15" w:type="dxa"/>
              <w:left w:w="70" w:type="dxa"/>
              <w:bottom w:w="0" w:type="dxa"/>
              <w:right w:w="70" w:type="dxa"/>
            </w:tcMar>
            <w:vAlign w:val="center"/>
            <w:hideMark/>
          </w:tcPr>
          <w:p w14:paraId="5D56DD0A" w14:textId="77777777" w:rsidR="004701F4" w:rsidRPr="00A65462" w:rsidRDefault="004701F4" w:rsidP="005621E7">
            <w:pPr>
              <w:pStyle w:val="BodyText"/>
              <w:rPr>
                <w:rFonts w:asciiTheme="minorHAnsi" w:hAnsiTheme="minorHAnsi" w:cstheme="minorHAnsi"/>
                <w:b/>
                <w:noProof w:val="0"/>
                <w:sz w:val="20"/>
              </w:rPr>
            </w:pPr>
            <w:r w:rsidRPr="00A65462">
              <w:rPr>
                <w:rFonts w:asciiTheme="minorHAnsi" w:hAnsiTheme="minorHAnsi"/>
                <w:b/>
                <w:noProof w:val="0"/>
                <w:sz w:val="20"/>
              </w:rPr>
              <w:t xml:space="preserve">Total for furniture industry </w:t>
            </w:r>
          </w:p>
        </w:tc>
        <w:tc>
          <w:tcPr>
            <w:tcW w:w="851" w:type="dxa"/>
            <w:shd w:val="clear" w:color="auto" w:fill="FFC000"/>
            <w:tcMar>
              <w:top w:w="15" w:type="dxa"/>
              <w:left w:w="70" w:type="dxa"/>
              <w:bottom w:w="0" w:type="dxa"/>
              <w:right w:w="70" w:type="dxa"/>
            </w:tcMar>
            <w:vAlign w:val="center"/>
          </w:tcPr>
          <w:p w14:paraId="686AC29D"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74.6</w:t>
            </w:r>
          </w:p>
        </w:tc>
        <w:tc>
          <w:tcPr>
            <w:tcW w:w="850" w:type="dxa"/>
            <w:shd w:val="clear" w:color="auto" w:fill="FFC000"/>
            <w:tcMar>
              <w:top w:w="15" w:type="dxa"/>
              <w:left w:w="70" w:type="dxa"/>
              <w:bottom w:w="0" w:type="dxa"/>
              <w:right w:w="70" w:type="dxa"/>
            </w:tcMar>
            <w:vAlign w:val="center"/>
          </w:tcPr>
          <w:p w14:paraId="62B8F625"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86.1</w:t>
            </w:r>
          </w:p>
        </w:tc>
        <w:tc>
          <w:tcPr>
            <w:tcW w:w="992" w:type="dxa"/>
            <w:shd w:val="clear" w:color="auto" w:fill="FFC000"/>
            <w:tcMar>
              <w:top w:w="15" w:type="dxa"/>
              <w:left w:w="70" w:type="dxa"/>
              <w:bottom w:w="0" w:type="dxa"/>
              <w:right w:w="70" w:type="dxa"/>
            </w:tcMar>
            <w:vAlign w:val="center"/>
            <w:hideMark/>
          </w:tcPr>
          <w:p w14:paraId="6CC7E5F8"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+15.4</w:t>
            </w:r>
          </w:p>
        </w:tc>
        <w:tc>
          <w:tcPr>
            <w:tcW w:w="993" w:type="dxa"/>
            <w:shd w:val="clear" w:color="auto" w:fill="FFC000"/>
            <w:tcMar>
              <w:top w:w="15" w:type="dxa"/>
              <w:left w:w="70" w:type="dxa"/>
              <w:bottom w:w="0" w:type="dxa"/>
              <w:right w:w="70" w:type="dxa"/>
            </w:tcMar>
            <w:vAlign w:val="center"/>
          </w:tcPr>
          <w:p w14:paraId="4BCE56F3"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36.9</w:t>
            </w:r>
          </w:p>
        </w:tc>
        <w:tc>
          <w:tcPr>
            <w:tcW w:w="1134" w:type="dxa"/>
            <w:shd w:val="clear" w:color="auto" w:fill="FFC000"/>
            <w:tcMar>
              <w:top w:w="15" w:type="dxa"/>
              <w:left w:w="70" w:type="dxa"/>
              <w:bottom w:w="0" w:type="dxa"/>
              <w:right w:w="70" w:type="dxa"/>
            </w:tcMar>
            <w:vAlign w:val="center"/>
          </w:tcPr>
          <w:p w14:paraId="45EA8BDB"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48.2</w:t>
            </w:r>
          </w:p>
        </w:tc>
        <w:tc>
          <w:tcPr>
            <w:tcW w:w="1275" w:type="dxa"/>
            <w:shd w:val="clear" w:color="auto" w:fill="FFC000"/>
            <w:tcMar>
              <w:top w:w="15" w:type="dxa"/>
              <w:left w:w="70" w:type="dxa"/>
              <w:bottom w:w="0" w:type="dxa"/>
              <w:right w:w="70" w:type="dxa"/>
            </w:tcMar>
            <w:vAlign w:val="center"/>
            <w:hideMark/>
          </w:tcPr>
          <w:p w14:paraId="520439C2" w14:textId="77777777" w:rsidR="004701F4" w:rsidRPr="00A65462" w:rsidRDefault="004701F4" w:rsidP="005621E7">
            <w:pPr>
              <w:pStyle w:val="BodyText"/>
              <w:jc w:val="right"/>
              <w:rPr>
                <w:rFonts w:asciiTheme="minorHAnsi" w:hAnsiTheme="minorHAnsi" w:cstheme="minorBidi"/>
                <w:b/>
                <w:bCs/>
                <w:noProof w:val="0"/>
                <w:sz w:val="20"/>
              </w:rPr>
            </w:pPr>
            <w:r w:rsidRPr="00A65462">
              <w:rPr>
                <w:rFonts w:asciiTheme="minorHAnsi" w:hAnsiTheme="minorHAnsi"/>
                <w:b/>
                <w:noProof w:val="0"/>
                <w:sz w:val="20"/>
              </w:rPr>
              <w:t>+30.6%</w:t>
            </w:r>
          </w:p>
        </w:tc>
      </w:tr>
    </w:tbl>
    <w:bookmarkEnd w:id="0"/>
    <w:p w14:paraId="3CE3F08C" w14:textId="77777777" w:rsidR="004701F4" w:rsidRPr="00A65462" w:rsidRDefault="004701F4" w:rsidP="004701F4">
      <w:pPr>
        <w:pStyle w:val="BodyText"/>
        <w:tabs>
          <w:tab w:val="clear" w:pos="3884"/>
          <w:tab w:val="left" w:pos="567"/>
        </w:tabs>
        <w:rPr>
          <w:rFonts w:asciiTheme="minorHAnsi" w:hAnsiTheme="minorHAnsi" w:cstheme="minorHAnsi"/>
          <w:noProof w:val="0"/>
          <w:sz w:val="16"/>
          <w:szCs w:val="16"/>
        </w:rPr>
      </w:pPr>
      <w:r w:rsidRPr="00A65462">
        <w:rPr>
          <w:rFonts w:asciiTheme="minorHAnsi" w:hAnsiTheme="minorHAnsi"/>
          <w:noProof w:val="0"/>
          <w:sz w:val="16"/>
        </w:rPr>
        <w:t xml:space="preserve">Source: FPS Economy, VAT returns </w:t>
      </w:r>
    </w:p>
    <w:p w14:paraId="0F8FF92A" w14:textId="77777777" w:rsidR="004701F4" w:rsidRPr="00A65462" w:rsidRDefault="004701F4" w:rsidP="004701F4">
      <w:pPr>
        <w:pStyle w:val="BodyText"/>
        <w:tabs>
          <w:tab w:val="clear" w:pos="3884"/>
          <w:tab w:val="left" w:pos="567"/>
        </w:tabs>
        <w:rPr>
          <w:rFonts w:asciiTheme="minorHAnsi" w:hAnsiTheme="minorHAnsi" w:cstheme="minorHAnsi"/>
          <w:noProof w:val="0"/>
          <w:sz w:val="18"/>
          <w:szCs w:val="18"/>
        </w:rPr>
      </w:pPr>
      <w:r w:rsidRPr="00A65462">
        <w:rPr>
          <w:rFonts w:asciiTheme="minorHAnsi" w:hAnsiTheme="minorHAnsi"/>
          <w:noProof w:val="0"/>
          <w:sz w:val="18"/>
        </w:rPr>
        <w:t>* Provisional data</w:t>
      </w:r>
    </w:p>
    <w:p w14:paraId="21566C9E" w14:textId="77777777" w:rsidR="004701F4" w:rsidRPr="00A65462" w:rsidRDefault="004701F4" w:rsidP="004701F4">
      <w:pPr>
        <w:pStyle w:val="BodyText"/>
        <w:tabs>
          <w:tab w:val="clear" w:pos="3884"/>
          <w:tab w:val="left" w:pos="567"/>
        </w:tabs>
        <w:rPr>
          <w:rFonts w:asciiTheme="minorHAnsi" w:hAnsiTheme="minorHAnsi" w:cstheme="minorHAnsi"/>
          <w:noProof w:val="0"/>
          <w:sz w:val="18"/>
          <w:szCs w:val="18"/>
        </w:rPr>
      </w:pPr>
    </w:p>
    <w:p w14:paraId="0B91B142" w14:textId="77777777" w:rsidR="004701F4" w:rsidRPr="00A65462" w:rsidRDefault="004701F4" w:rsidP="004701F4">
      <w:pPr>
        <w:pStyle w:val="BodyText"/>
        <w:rPr>
          <w:rFonts w:asciiTheme="minorHAnsi" w:hAnsiTheme="minorHAnsi" w:cstheme="minorBidi"/>
          <w:noProof w:val="0"/>
        </w:rPr>
      </w:pPr>
      <w:r w:rsidRPr="00A65462">
        <w:rPr>
          <w:rFonts w:asciiTheme="minorHAnsi" w:hAnsiTheme="minorHAnsi"/>
          <w:noProof w:val="0"/>
        </w:rPr>
        <w:t>The production capacity utilisation rate in the Belgian furniture industry has held steady at over 80% over the last few years, but has seen a decline since the third quarter of 2022. The second quarter of 2023 saw a ten-year low at 72.5%</w:t>
      </w:r>
    </w:p>
    <w:p w14:paraId="6F49EBDE" w14:textId="77777777" w:rsidR="004701F4" w:rsidRPr="00A65462" w:rsidRDefault="004701F4" w:rsidP="004701F4">
      <w:pPr>
        <w:pStyle w:val="BodyText"/>
        <w:rPr>
          <w:rFonts w:asciiTheme="minorHAnsi" w:hAnsiTheme="minorHAnsi" w:cstheme="minorHAnsi"/>
          <w:noProof w:val="0"/>
          <w:szCs w:val="22"/>
        </w:rPr>
      </w:pPr>
    </w:p>
    <w:p w14:paraId="01EA9B03" w14:textId="77777777" w:rsidR="004701F4" w:rsidRPr="00A65462" w:rsidRDefault="004701F4" w:rsidP="004701F4">
      <w:pPr>
        <w:pStyle w:val="BodyText"/>
        <w:jc w:val="center"/>
        <w:rPr>
          <w:rFonts w:asciiTheme="minorHAnsi" w:hAnsiTheme="minorHAnsi" w:cstheme="minorHAnsi"/>
          <w:noProof w:val="0"/>
          <w:szCs w:val="22"/>
        </w:rPr>
      </w:pPr>
      <w:r w:rsidRPr="00A65462">
        <w:rPr>
          <w:rFonts w:asciiTheme="minorHAnsi" w:hAnsiTheme="minorHAnsi"/>
          <w:b/>
          <w:noProof w:val="0"/>
          <w:sz w:val="24"/>
        </w:rPr>
        <w:t>The Belgian furniture industry's production capacity utilisation rate.</w:t>
      </w:r>
      <w:r w:rsidRPr="00A65462">
        <w:rPr>
          <w:rFonts w:asciiTheme="minorHAnsi" w:hAnsiTheme="minorHAnsi"/>
          <w:sz w:val="10"/>
          <w:szCs w:val="22"/>
          <w:lang w:eastAsia="en-GB"/>
        </w:rPr>
        <w:drawing>
          <wp:inline distT="0" distB="0" distL="0" distR="0" wp14:anchorId="530ABD39" wp14:editId="5E0A02C1">
            <wp:extent cx="5759532" cy="2547257"/>
            <wp:effectExtent l="0" t="0" r="0" b="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498334" w14:textId="77777777" w:rsidR="004701F4" w:rsidRPr="00A65462" w:rsidRDefault="004701F4" w:rsidP="004701F4">
      <w:pPr>
        <w:pStyle w:val="BodyText"/>
        <w:tabs>
          <w:tab w:val="clear" w:pos="3884"/>
        </w:tabs>
        <w:jc w:val="left"/>
        <w:rPr>
          <w:rFonts w:asciiTheme="minorHAnsi" w:hAnsiTheme="minorHAnsi" w:cstheme="minorHAnsi"/>
          <w:noProof w:val="0"/>
          <w:sz w:val="16"/>
          <w:szCs w:val="22"/>
        </w:rPr>
      </w:pPr>
      <w:r w:rsidRPr="00A65462">
        <w:rPr>
          <w:rFonts w:asciiTheme="minorHAnsi" w:hAnsiTheme="minorHAnsi"/>
          <w:noProof w:val="0"/>
          <w:sz w:val="16"/>
          <w:szCs w:val="22"/>
        </w:rPr>
        <w:tab/>
      </w:r>
      <w:r w:rsidRPr="00A65462">
        <w:rPr>
          <w:rFonts w:asciiTheme="minorHAnsi" w:hAnsiTheme="minorHAnsi"/>
          <w:noProof w:val="0"/>
          <w:sz w:val="16"/>
        </w:rPr>
        <w:t>Source: National Bank of Belgium</w:t>
      </w:r>
    </w:p>
    <w:p w14:paraId="3F3B35D0" w14:textId="77777777" w:rsidR="004701F4" w:rsidRPr="00A65462" w:rsidRDefault="004701F4" w:rsidP="004701F4">
      <w:pPr>
        <w:pStyle w:val="BodyText"/>
        <w:rPr>
          <w:rFonts w:asciiTheme="minorHAnsi" w:hAnsiTheme="minorHAnsi" w:cstheme="minorHAnsi"/>
          <w:noProof w:val="0"/>
          <w:szCs w:val="22"/>
          <w:highlight w:val="yellow"/>
        </w:rPr>
      </w:pPr>
    </w:p>
    <w:p w14:paraId="5D8C47D3" w14:textId="77777777" w:rsidR="004701F4" w:rsidRPr="00A65462" w:rsidRDefault="004701F4" w:rsidP="004701F4">
      <w:pPr>
        <w:pStyle w:val="BodyText"/>
        <w:rPr>
          <w:rFonts w:asciiTheme="minorHAnsi" w:hAnsiTheme="minorHAnsi" w:cstheme="minorBidi"/>
          <w:b/>
          <w:bCs/>
          <w:noProof w:val="0"/>
          <w:u w:val="single"/>
        </w:rPr>
      </w:pPr>
      <w:r w:rsidRPr="00A65462">
        <w:rPr>
          <w:rFonts w:asciiTheme="minorHAnsi" w:hAnsiTheme="minorHAnsi"/>
          <w:b/>
          <w:noProof w:val="0"/>
          <w:u w:val="single"/>
        </w:rPr>
        <w:t>Employment remains steady in the Belgian furniture sector</w:t>
      </w:r>
    </w:p>
    <w:p w14:paraId="69AC4CA1" w14:textId="77777777" w:rsidR="004701F4" w:rsidRPr="00A65462" w:rsidRDefault="004701F4" w:rsidP="004701F4">
      <w:pPr>
        <w:pStyle w:val="BodyText"/>
        <w:rPr>
          <w:rFonts w:asciiTheme="minorHAnsi" w:hAnsiTheme="minorHAnsi" w:cstheme="minorHAnsi"/>
          <w:noProof w:val="0"/>
        </w:rPr>
      </w:pPr>
    </w:p>
    <w:p w14:paraId="1204BAAC" w14:textId="77777777" w:rsidR="004701F4" w:rsidRPr="00A65462" w:rsidRDefault="004701F4" w:rsidP="004701F4">
      <w:pPr>
        <w:pStyle w:val="BodyText"/>
        <w:rPr>
          <w:rFonts w:asciiTheme="minorHAnsi" w:hAnsiTheme="minorHAnsi" w:cstheme="minorBidi"/>
          <w:noProof w:val="0"/>
        </w:rPr>
      </w:pPr>
      <w:r w:rsidRPr="00A65462">
        <w:rPr>
          <w:rFonts w:asciiTheme="minorHAnsi" w:hAnsiTheme="minorHAnsi"/>
          <w:noProof w:val="0"/>
        </w:rPr>
        <w:t xml:space="preserve">722 companies employed 9,763 people in 2022, down 61 units from 2021. Employment </w:t>
      </w:r>
      <w:r>
        <w:rPr>
          <w:rFonts w:asciiTheme="minorHAnsi" w:hAnsiTheme="minorHAnsi"/>
          <w:noProof w:val="0"/>
        </w:rPr>
        <w:t>thus</w:t>
      </w:r>
      <w:r w:rsidRPr="00A65462">
        <w:rPr>
          <w:rFonts w:asciiTheme="minorHAnsi" w:hAnsiTheme="minorHAnsi"/>
          <w:noProof w:val="0"/>
        </w:rPr>
        <w:t xml:space="preserve"> remained fairly steady. </w:t>
      </w:r>
    </w:p>
    <w:p w14:paraId="5A7A0777" w14:textId="77777777" w:rsidR="004701F4" w:rsidRPr="00A65462" w:rsidRDefault="004701F4" w:rsidP="004701F4">
      <w:pPr>
        <w:pStyle w:val="BodyText"/>
        <w:rPr>
          <w:rFonts w:asciiTheme="minorHAnsi" w:hAnsiTheme="minorHAnsi" w:cstheme="minorHAnsi"/>
          <w:noProof w:val="0"/>
          <w:szCs w:val="22"/>
        </w:rPr>
      </w:pPr>
    </w:p>
    <w:p w14:paraId="167D35CD" w14:textId="77777777" w:rsidR="004701F4" w:rsidRPr="00A65462" w:rsidRDefault="004701F4" w:rsidP="004701F4">
      <w:pPr>
        <w:pStyle w:val="BodyText"/>
        <w:rPr>
          <w:rFonts w:asciiTheme="minorHAnsi" w:hAnsiTheme="minorHAnsi" w:cstheme="minorHAnsi"/>
          <w:noProof w:val="0"/>
          <w:szCs w:val="22"/>
        </w:rPr>
      </w:pPr>
      <w:r w:rsidRPr="00A65462">
        <w:rPr>
          <w:rFonts w:asciiTheme="minorHAnsi" w:hAnsiTheme="minorHAnsi"/>
          <w:noProof w:val="0"/>
        </w:rPr>
        <w:t>Despite the falling level of economic activity, companies remain on the lookout for technically skilled workers to compensate for the outflow of older workers. Fedustria</w:t>
      </w:r>
      <w:r>
        <w:rPr>
          <w:rFonts w:asciiTheme="minorHAnsi" w:hAnsiTheme="minorHAnsi"/>
          <w:noProof w:val="0"/>
        </w:rPr>
        <w:t xml:space="preserve"> has launched </w:t>
      </w:r>
      <w:r w:rsidRPr="00A65462">
        <w:rPr>
          <w:rFonts w:asciiTheme="minorHAnsi" w:hAnsiTheme="minorHAnsi"/>
          <w:noProof w:val="0"/>
        </w:rPr>
        <w:t xml:space="preserve">campaigns to encourage young people to </w:t>
      </w:r>
      <w:r>
        <w:rPr>
          <w:rFonts w:asciiTheme="minorHAnsi" w:hAnsiTheme="minorHAnsi"/>
          <w:noProof w:val="0"/>
        </w:rPr>
        <w:t>start education</w:t>
      </w:r>
      <w:r w:rsidRPr="00A65462">
        <w:rPr>
          <w:rFonts w:asciiTheme="minorHAnsi" w:hAnsiTheme="minorHAnsi"/>
          <w:noProof w:val="0"/>
        </w:rPr>
        <w:t xml:space="preserve"> and find jobs in the furniture sector.</w:t>
      </w:r>
      <w:r w:rsidRPr="00A65462">
        <w:rPr>
          <w:rFonts w:asciiTheme="minorHAnsi" w:hAnsiTheme="minorHAnsi"/>
          <w:noProof w:val="0"/>
          <w:szCs w:val="22"/>
        </w:rPr>
        <w:br w:type="page"/>
      </w:r>
    </w:p>
    <w:p w14:paraId="11C6DB3E" w14:textId="77777777" w:rsidR="004701F4" w:rsidRPr="00A65462" w:rsidRDefault="004701F4" w:rsidP="004701F4">
      <w:pPr>
        <w:pStyle w:val="BodyText"/>
        <w:rPr>
          <w:rFonts w:asciiTheme="minorHAnsi" w:hAnsiTheme="minorHAnsi" w:cstheme="minorHAnsi"/>
          <w:b/>
          <w:bCs/>
          <w:noProof w:val="0"/>
          <w:u w:val="single"/>
        </w:rPr>
      </w:pPr>
      <w:r w:rsidRPr="00A65462">
        <w:rPr>
          <w:rFonts w:asciiTheme="minorHAnsi" w:hAnsiTheme="minorHAnsi"/>
          <w:b/>
          <w:noProof w:val="0"/>
          <w:u w:val="single"/>
        </w:rPr>
        <w:lastRenderedPageBreak/>
        <w:t>Consumer confidence reaches a historic low</w:t>
      </w:r>
    </w:p>
    <w:p w14:paraId="14D59266" w14:textId="77777777" w:rsidR="004701F4" w:rsidRPr="00A65462" w:rsidRDefault="004701F4" w:rsidP="004701F4">
      <w:pPr>
        <w:pStyle w:val="BodyText"/>
        <w:rPr>
          <w:rFonts w:asciiTheme="minorHAnsi" w:hAnsiTheme="minorHAnsi" w:cstheme="minorHAnsi"/>
          <w:noProof w:val="0"/>
        </w:rPr>
      </w:pPr>
    </w:p>
    <w:p w14:paraId="605E015C" w14:textId="77777777" w:rsidR="004701F4" w:rsidRPr="00A65462" w:rsidRDefault="004701F4" w:rsidP="004701F4">
      <w:pPr>
        <w:pStyle w:val="BodyText"/>
        <w:rPr>
          <w:rFonts w:asciiTheme="minorHAnsi" w:hAnsiTheme="minorHAnsi" w:cstheme="minorBidi"/>
          <w:noProof w:val="0"/>
        </w:rPr>
      </w:pPr>
      <w:r w:rsidRPr="00A65462">
        <w:rPr>
          <w:rFonts w:asciiTheme="minorHAnsi" w:hAnsiTheme="minorHAnsi"/>
          <w:noProof w:val="0"/>
        </w:rPr>
        <w:t>Following a historic low in mid-2022, confidence among consumers in Belgium and across Europe recovered slightly before falling again in the summer of 2023.</w:t>
      </w:r>
    </w:p>
    <w:p w14:paraId="11670A01" w14:textId="77777777" w:rsidR="004701F4" w:rsidRPr="00A65462" w:rsidRDefault="004701F4" w:rsidP="004701F4">
      <w:pPr>
        <w:pStyle w:val="BodyText"/>
        <w:rPr>
          <w:rFonts w:asciiTheme="minorHAnsi" w:hAnsiTheme="minorHAnsi" w:cstheme="minorBidi"/>
          <w:noProof w:val="0"/>
        </w:rPr>
      </w:pPr>
    </w:p>
    <w:p w14:paraId="38F78B33" w14:textId="77777777" w:rsidR="004701F4" w:rsidRPr="00A65462" w:rsidRDefault="004701F4" w:rsidP="004701F4">
      <w:pPr>
        <w:pStyle w:val="BodyText"/>
        <w:rPr>
          <w:rFonts w:asciiTheme="minorHAnsi" w:hAnsiTheme="minorHAnsi" w:cstheme="minorBidi"/>
          <w:noProof w:val="0"/>
        </w:rPr>
      </w:pPr>
      <w:r w:rsidRPr="00A65462">
        <w:rPr>
          <w:rFonts w:asciiTheme="minorHAnsi" w:hAnsiTheme="minorHAnsi"/>
          <w:noProof w:val="0"/>
        </w:rPr>
        <w:t>Key factors with an impact on confidence ha</w:t>
      </w:r>
      <w:r>
        <w:rPr>
          <w:rFonts w:asciiTheme="minorHAnsi" w:hAnsiTheme="minorHAnsi"/>
          <w:noProof w:val="0"/>
        </w:rPr>
        <w:t>ve</w:t>
      </w:r>
      <w:r w:rsidRPr="00A65462">
        <w:rPr>
          <w:rFonts w:asciiTheme="minorHAnsi" w:hAnsiTheme="minorHAnsi"/>
          <w:noProof w:val="0"/>
        </w:rPr>
        <w:t xml:space="preserve"> remained largely unchanged: inflation has remained relatively high, prices fell only to some extent, and the war in Ukraine is at a stalemate without any prospect of a solution. We recently saw the Hamas attack on Israel and the response </w:t>
      </w:r>
      <w:r>
        <w:rPr>
          <w:rFonts w:asciiTheme="minorHAnsi" w:hAnsiTheme="minorHAnsi"/>
          <w:noProof w:val="0"/>
        </w:rPr>
        <w:t>resulting from it</w:t>
      </w:r>
      <w:r w:rsidRPr="00A65462">
        <w:rPr>
          <w:rFonts w:asciiTheme="minorHAnsi" w:hAnsiTheme="minorHAnsi"/>
          <w:noProof w:val="0"/>
        </w:rPr>
        <w:t>, which has also had an impact on the European and Belgian economies.</w:t>
      </w:r>
    </w:p>
    <w:p w14:paraId="0BA3FE45" w14:textId="77777777" w:rsidR="004701F4" w:rsidRPr="00A65462" w:rsidRDefault="004701F4" w:rsidP="004701F4">
      <w:pPr>
        <w:pStyle w:val="BodyText"/>
        <w:rPr>
          <w:rFonts w:asciiTheme="minorHAnsi" w:hAnsiTheme="minorHAnsi" w:cstheme="minorBidi"/>
          <w:noProof w:val="0"/>
        </w:rPr>
      </w:pPr>
    </w:p>
    <w:p w14:paraId="2D5E4F45" w14:textId="77777777" w:rsidR="004701F4" w:rsidRPr="00A65462" w:rsidRDefault="004701F4" w:rsidP="004701F4">
      <w:pPr>
        <w:pStyle w:val="BodyText"/>
        <w:rPr>
          <w:rFonts w:asciiTheme="minorHAnsi" w:hAnsiTheme="minorHAnsi" w:cstheme="minorHAnsi"/>
          <w:noProof w:val="0"/>
          <w:sz w:val="6"/>
          <w:szCs w:val="4"/>
        </w:rPr>
      </w:pPr>
    </w:p>
    <w:p w14:paraId="1613D85F" w14:textId="77777777" w:rsidR="004701F4" w:rsidRPr="00A65462" w:rsidRDefault="004701F4" w:rsidP="004701F4">
      <w:pPr>
        <w:pStyle w:val="BodyText"/>
        <w:jc w:val="center"/>
        <w:rPr>
          <w:rFonts w:asciiTheme="minorHAnsi" w:hAnsiTheme="minorHAnsi" w:cstheme="minorHAnsi"/>
          <w:b/>
          <w:bCs/>
          <w:noProof w:val="0"/>
          <w:sz w:val="20"/>
        </w:rPr>
      </w:pPr>
      <w:r w:rsidRPr="00A65462">
        <w:rPr>
          <w:rFonts w:asciiTheme="minorHAnsi" w:hAnsiTheme="minorHAnsi"/>
          <w:b/>
          <w:noProof w:val="0"/>
          <w:sz w:val="20"/>
        </w:rPr>
        <w:t>Development of consumer confidence in Belgium and the EU</w:t>
      </w:r>
    </w:p>
    <w:p w14:paraId="126060DF" w14:textId="77777777" w:rsidR="004701F4" w:rsidRPr="00A65462" w:rsidRDefault="004701F4" w:rsidP="004701F4">
      <w:pPr>
        <w:pStyle w:val="BodyText"/>
        <w:jc w:val="center"/>
        <w:rPr>
          <w:rFonts w:asciiTheme="minorHAnsi" w:hAnsiTheme="minorHAnsi" w:cstheme="minorBidi"/>
          <w:b/>
          <w:bCs/>
          <w:noProof w:val="0"/>
          <w:sz w:val="24"/>
          <w:szCs w:val="24"/>
        </w:rPr>
      </w:pPr>
      <w:r w:rsidRPr="00A65462">
        <w:rPr>
          <w:rFonts w:asciiTheme="minorHAnsi" w:hAnsiTheme="minorHAnsi"/>
          <w:b/>
          <w:bCs/>
          <w:sz w:val="24"/>
          <w:szCs w:val="24"/>
          <w:lang w:eastAsia="en-GB"/>
        </w:rPr>
        <w:drawing>
          <wp:inline distT="0" distB="0" distL="0" distR="0" wp14:anchorId="41189828" wp14:editId="6791FB8A">
            <wp:extent cx="5760085" cy="3357245"/>
            <wp:effectExtent l="0" t="0" r="0" b="0"/>
            <wp:docPr id="1455258839" name="Afbeelding 1455258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3357245"/>
                    </a:xfrm>
                    <a:prstGeom prst="rect">
                      <a:avLst/>
                    </a:prstGeom>
                    <a:noFill/>
                    <a:ln>
                      <a:noFill/>
                    </a:ln>
                  </pic:spPr>
                </pic:pic>
              </a:graphicData>
            </a:graphic>
          </wp:inline>
        </w:drawing>
      </w:r>
    </w:p>
    <w:p w14:paraId="167112DF" w14:textId="77777777" w:rsidR="004701F4" w:rsidRPr="00A65462" w:rsidRDefault="004701F4" w:rsidP="004701F4">
      <w:pPr>
        <w:pStyle w:val="BodyText"/>
        <w:ind w:firstLine="284"/>
        <w:rPr>
          <w:rFonts w:asciiTheme="minorHAnsi" w:hAnsiTheme="minorHAnsi" w:cstheme="minorHAnsi"/>
          <w:noProof w:val="0"/>
          <w:sz w:val="16"/>
          <w:szCs w:val="16"/>
        </w:rPr>
      </w:pPr>
      <w:r w:rsidRPr="00A65462">
        <w:rPr>
          <w:rFonts w:asciiTheme="minorHAnsi" w:hAnsiTheme="minorHAnsi"/>
          <w:noProof w:val="0"/>
          <w:sz w:val="16"/>
        </w:rPr>
        <w:t>Source: European Commission</w:t>
      </w:r>
    </w:p>
    <w:p w14:paraId="0AEDAFE9" w14:textId="77777777" w:rsidR="004701F4" w:rsidRPr="00A65462" w:rsidRDefault="004701F4" w:rsidP="004701F4">
      <w:pPr>
        <w:pStyle w:val="BodyText"/>
        <w:rPr>
          <w:rFonts w:asciiTheme="minorHAnsi" w:hAnsiTheme="minorHAnsi" w:cstheme="minorHAnsi"/>
          <w:noProof w:val="0"/>
        </w:rPr>
      </w:pPr>
    </w:p>
    <w:p w14:paraId="5B822847" w14:textId="77777777" w:rsidR="004701F4" w:rsidRPr="00A65462" w:rsidRDefault="004701F4" w:rsidP="004701F4">
      <w:pPr>
        <w:pStyle w:val="BodyText"/>
        <w:rPr>
          <w:rFonts w:asciiTheme="minorHAnsi" w:hAnsiTheme="minorHAnsi" w:cstheme="minorBidi"/>
          <w:b/>
          <w:bCs/>
          <w:noProof w:val="0"/>
          <w:u w:val="single"/>
        </w:rPr>
      </w:pPr>
      <w:r w:rsidRPr="00A65462">
        <w:rPr>
          <w:rFonts w:asciiTheme="minorHAnsi" w:hAnsiTheme="minorHAnsi"/>
          <w:b/>
          <w:noProof w:val="0"/>
          <w:u w:val="single"/>
        </w:rPr>
        <w:t xml:space="preserve">Increasing order rate in the furniture trade </w:t>
      </w:r>
    </w:p>
    <w:p w14:paraId="2B501332" w14:textId="77777777" w:rsidR="004701F4" w:rsidRPr="00EB51EB" w:rsidRDefault="004701F4" w:rsidP="004701F4">
      <w:pPr>
        <w:pStyle w:val="BodyText"/>
        <w:rPr>
          <w:rFonts w:asciiTheme="minorHAnsi" w:hAnsiTheme="minorHAnsi" w:cstheme="minorHAnsi"/>
          <w:b/>
          <w:noProof w:val="0"/>
          <w:sz w:val="24"/>
          <w:szCs w:val="22"/>
        </w:rPr>
      </w:pPr>
    </w:p>
    <w:p w14:paraId="39FD321E" w14:textId="77777777" w:rsidR="004701F4" w:rsidRPr="004701F4" w:rsidRDefault="004701F4" w:rsidP="004701F4">
      <w:pPr>
        <w:jc w:val="both"/>
        <w:rPr>
          <w:lang w:val="en-GB"/>
        </w:rPr>
      </w:pPr>
      <w:r w:rsidRPr="004701F4">
        <w:rPr>
          <w:lang w:val="en-GB"/>
        </w:rPr>
        <w:t>According to the monthly survey by the National Bank of Belgium, the orders received in the Belgian furniture trade in the first eight months of 2023 rose cumulatively by 11.3%. Following an increase of 13.0% in the first quarter of 2023, the increase in orders during the second quarter remained limited to 5.7%, only to accelerate again to 15.7% in July–August.</w:t>
      </w:r>
    </w:p>
    <w:p w14:paraId="41787148" w14:textId="77777777" w:rsidR="004701F4" w:rsidRPr="004701F4" w:rsidRDefault="004701F4" w:rsidP="004701F4">
      <w:pPr>
        <w:jc w:val="both"/>
        <w:rPr>
          <w:lang w:val="en-GB"/>
        </w:rPr>
      </w:pPr>
      <w:bookmarkStart w:id="1" w:name="_Hlk149121682"/>
    </w:p>
    <w:p w14:paraId="449E9C77" w14:textId="77777777" w:rsidR="004701F4" w:rsidRPr="004701F4" w:rsidRDefault="004701F4" w:rsidP="004701F4">
      <w:pPr>
        <w:jc w:val="both"/>
        <w:rPr>
          <w:lang w:val="en-GB"/>
        </w:rPr>
      </w:pPr>
      <w:r w:rsidRPr="004701F4">
        <w:rPr>
          <w:lang w:val="en-GB"/>
        </w:rPr>
        <w:t>This contrasts somewhat with the signals we are seeing in the market and in retail. On the other hand, the increases can also be explained by the fall in sales in 2022 and higher prices.</w:t>
      </w:r>
    </w:p>
    <w:p w14:paraId="13E55BBF" w14:textId="77777777" w:rsidR="004701F4" w:rsidRPr="004701F4" w:rsidRDefault="004701F4" w:rsidP="004701F4">
      <w:pPr>
        <w:rPr>
          <w:rFonts w:cstheme="minorHAnsi"/>
          <w:lang w:val="en-GB"/>
        </w:rPr>
      </w:pPr>
      <w:r w:rsidRPr="004701F4">
        <w:rPr>
          <w:lang w:val="en-GB"/>
        </w:rPr>
        <w:br w:type="page"/>
      </w:r>
    </w:p>
    <w:bookmarkEnd w:id="1"/>
    <w:p w14:paraId="760D1105" w14:textId="77777777" w:rsidR="004701F4" w:rsidRPr="00A65462" w:rsidRDefault="004701F4" w:rsidP="004701F4">
      <w:pPr>
        <w:pStyle w:val="BodyText"/>
        <w:jc w:val="left"/>
        <w:rPr>
          <w:noProof w:val="0"/>
        </w:rPr>
      </w:pPr>
      <w:r w:rsidRPr="00A65462">
        <w:rPr>
          <w:lang w:eastAsia="en-GB"/>
        </w:rPr>
        <w:lastRenderedPageBreak/>
        <w:drawing>
          <wp:inline distT="0" distB="0" distL="0" distR="0" wp14:anchorId="666BC222" wp14:editId="4F038CDC">
            <wp:extent cx="5760085" cy="3764280"/>
            <wp:effectExtent l="0" t="0" r="12065" b="7620"/>
            <wp:docPr id="467271854" name="Grafiek 1">
              <a:extLst xmlns:a="http://schemas.openxmlformats.org/drawingml/2006/main">
                <a:ext uri="{FF2B5EF4-FFF2-40B4-BE49-F238E27FC236}">
                  <a16:creationId xmlns:a16="http://schemas.microsoft.com/office/drawing/2014/main" id="{EF33CA41-D79E-7412-08E5-B5235E1285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52E4C6" w14:textId="77777777" w:rsidR="004701F4" w:rsidRPr="00A65462" w:rsidRDefault="004701F4" w:rsidP="004701F4">
      <w:pPr>
        <w:pStyle w:val="BodyText"/>
        <w:rPr>
          <w:rFonts w:asciiTheme="minorHAnsi" w:hAnsiTheme="minorHAnsi" w:cstheme="minorHAnsi"/>
          <w:noProof w:val="0"/>
        </w:rPr>
      </w:pPr>
      <w:r w:rsidRPr="00A65462">
        <w:rPr>
          <w:rFonts w:asciiTheme="minorHAnsi" w:hAnsiTheme="minorHAnsi"/>
          <w:noProof w:val="0"/>
          <w:sz w:val="16"/>
        </w:rPr>
        <w:t>Source: National Bank of Belgium</w:t>
      </w:r>
    </w:p>
    <w:p w14:paraId="7D1F78C9" w14:textId="77777777" w:rsidR="004701F4" w:rsidRPr="004701F4" w:rsidRDefault="004701F4" w:rsidP="004701F4">
      <w:pPr>
        <w:rPr>
          <w:rFonts w:cstheme="minorHAnsi"/>
          <w:lang w:val="en-GB"/>
        </w:rPr>
      </w:pPr>
    </w:p>
    <w:p w14:paraId="3B69B6C6" w14:textId="77777777" w:rsidR="004701F4" w:rsidRPr="00A65462" w:rsidRDefault="004701F4" w:rsidP="004701F4">
      <w:pPr>
        <w:pStyle w:val="BodyText"/>
        <w:rPr>
          <w:rFonts w:asciiTheme="minorHAnsi" w:hAnsiTheme="minorHAnsi" w:cstheme="minorHAnsi"/>
          <w:b/>
          <w:noProof w:val="0"/>
          <w:u w:val="single"/>
        </w:rPr>
      </w:pPr>
      <w:r w:rsidRPr="00A65462">
        <w:rPr>
          <w:rFonts w:asciiTheme="minorHAnsi" w:hAnsiTheme="minorHAnsi"/>
          <w:b/>
          <w:noProof w:val="0"/>
          <w:u w:val="single"/>
        </w:rPr>
        <w:t>Foreign trade: both import and export of furniture fall</w:t>
      </w:r>
    </w:p>
    <w:p w14:paraId="6195983A" w14:textId="77777777" w:rsidR="004701F4" w:rsidRPr="00A65462" w:rsidRDefault="004701F4" w:rsidP="004701F4">
      <w:pPr>
        <w:pStyle w:val="BodyText"/>
        <w:rPr>
          <w:rFonts w:asciiTheme="minorHAnsi" w:hAnsiTheme="minorHAnsi" w:cstheme="minorHAnsi"/>
          <w:b/>
          <w:noProof w:val="0"/>
        </w:rPr>
      </w:pPr>
    </w:p>
    <w:p w14:paraId="42FDE228" w14:textId="77777777" w:rsidR="004701F4" w:rsidRPr="00A65462" w:rsidRDefault="004701F4" w:rsidP="004701F4">
      <w:pPr>
        <w:pStyle w:val="BodyText"/>
        <w:rPr>
          <w:rFonts w:asciiTheme="minorHAnsi" w:hAnsiTheme="minorHAnsi" w:cstheme="minorBidi"/>
          <w:noProof w:val="0"/>
        </w:rPr>
      </w:pPr>
      <w:r w:rsidRPr="00A65462">
        <w:rPr>
          <w:rFonts w:asciiTheme="minorHAnsi" w:hAnsiTheme="minorHAnsi"/>
          <w:noProof w:val="0"/>
        </w:rPr>
        <w:t xml:space="preserve">In the first half of 2023, </w:t>
      </w:r>
      <w:r w:rsidRPr="00A65462">
        <w:rPr>
          <w:rFonts w:asciiTheme="minorHAnsi" w:hAnsiTheme="minorHAnsi"/>
          <w:b/>
          <w:bCs/>
          <w:noProof w:val="0"/>
        </w:rPr>
        <w:t>Belgian furniture exports</w:t>
      </w:r>
      <w:r w:rsidRPr="00A65462">
        <w:rPr>
          <w:rFonts w:asciiTheme="minorHAnsi" w:hAnsiTheme="minorHAnsi"/>
          <w:noProof w:val="0"/>
        </w:rPr>
        <w:t xml:space="preserve"> (including transits) </w:t>
      </w:r>
      <w:r>
        <w:rPr>
          <w:rFonts w:asciiTheme="minorHAnsi" w:hAnsiTheme="minorHAnsi"/>
          <w:noProof w:val="0"/>
        </w:rPr>
        <w:t>declined</w:t>
      </w:r>
      <w:r w:rsidRPr="00A65462">
        <w:rPr>
          <w:rFonts w:asciiTheme="minorHAnsi" w:hAnsiTheme="minorHAnsi"/>
          <w:noProof w:val="0"/>
        </w:rPr>
        <w:t xml:space="preserve"> in value by 12.2% compared with the first half of 2022. However, taking into account the associated cost increase, this does mean a greater decrease in volume. Furniture exports amounted to just short of 802 million euros. While France remains the largest foreign market, it saw a decline of 23.5%. The country now accounts for a good third of furniture exports. The Netherlands (-7.8%) and Germany (-9.3%) also lost relative importance. Total exports to EU countries fell by 13.5%. An increase in exports to certain countries or regions could be seen, but all in all, sales remained limited.</w:t>
      </w:r>
    </w:p>
    <w:p w14:paraId="20D9E064" w14:textId="77777777" w:rsidR="004701F4" w:rsidRPr="00A65462" w:rsidRDefault="004701F4" w:rsidP="004701F4">
      <w:pPr>
        <w:pStyle w:val="BodyText"/>
        <w:rPr>
          <w:rFonts w:asciiTheme="minorHAnsi" w:hAnsiTheme="minorHAnsi" w:cstheme="minorHAnsi"/>
          <w:noProof w:val="0"/>
        </w:rPr>
      </w:pPr>
    </w:p>
    <w:p w14:paraId="61821738" w14:textId="77777777" w:rsidR="004701F4" w:rsidRPr="00A65462" w:rsidRDefault="004701F4" w:rsidP="004701F4">
      <w:pPr>
        <w:pStyle w:val="BodyText"/>
        <w:rPr>
          <w:rFonts w:asciiTheme="minorHAnsi" w:hAnsiTheme="minorHAnsi" w:cstheme="minorBidi"/>
          <w:noProof w:val="0"/>
        </w:rPr>
      </w:pPr>
      <w:r w:rsidRPr="00A65462">
        <w:rPr>
          <w:rFonts w:asciiTheme="minorHAnsi" w:hAnsiTheme="minorHAnsi"/>
          <w:b/>
          <w:bCs/>
          <w:noProof w:val="0"/>
        </w:rPr>
        <w:t>Imports of furniture</w:t>
      </w:r>
      <w:r w:rsidRPr="00A65462">
        <w:rPr>
          <w:rFonts w:asciiTheme="minorHAnsi" w:hAnsiTheme="minorHAnsi"/>
          <w:noProof w:val="0"/>
        </w:rPr>
        <w:t xml:space="preserve"> fell sharply by 17.4%, primarily due to a fall in imports from the Far East, with China (-30.6%), Indonesia (-49.8%) and Vietnam (-54.8%) showing the most notable decreases. China remained the most important origin country, however, with a share of 24.8%. Lower volumes of furniture arrived from Eastern Europe, mainly due to a not-unexpected decrease from Belarus (-76.1%), even though furniture is not subject to the sanctions imposed by the EU. We saw a 3.7% decrease in furniture imports from other EU countries. After China, the Netherlands and Germany remain the most important furniture suppliers on the Belgian market.</w:t>
      </w:r>
    </w:p>
    <w:p w14:paraId="56C1B6B4" w14:textId="77777777" w:rsidR="004701F4" w:rsidRPr="004701F4" w:rsidRDefault="004701F4" w:rsidP="004701F4">
      <w:pPr>
        <w:rPr>
          <w:rFonts w:cstheme="minorHAnsi"/>
          <w:lang w:val="en-GB"/>
        </w:rPr>
      </w:pPr>
      <w:r w:rsidRPr="004701F4">
        <w:rPr>
          <w:lang w:val="en-GB"/>
        </w:rPr>
        <w:br w:type="page"/>
      </w:r>
    </w:p>
    <w:tbl>
      <w:tblPr>
        <w:tblW w:w="8939" w:type="dxa"/>
        <w:tblCellMar>
          <w:left w:w="70" w:type="dxa"/>
          <w:right w:w="70" w:type="dxa"/>
        </w:tblCellMar>
        <w:tblLook w:val="04A0" w:firstRow="1" w:lastRow="0" w:firstColumn="1" w:lastColumn="0" w:noHBand="0" w:noVBand="1"/>
      </w:tblPr>
      <w:tblGrid>
        <w:gridCol w:w="1229"/>
        <w:gridCol w:w="674"/>
        <w:gridCol w:w="996"/>
        <w:gridCol w:w="996"/>
        <w:gridCol w:w="827"/>
        <w:gridCol w:w="786"/>
        <w:gridCol w:w="873"/>
        <w:gridCol w:w="873"/>
        <w:gridCol w:w="639"/>
        <w:gridCol w:w="1046"/>
      </w:tblGrid>
      <w:tr w:rsidR="004701F4" w:rsidRPr="00E12635" w14:paraId="50D26168" w14:textId="77777777" w:rsidTr="004701F4">
        <w:tc>
          <w:tcPr>
            <w:tcW w:w="8939" w:type="dxa"/>
            <w:gridSpan w:val="10"/>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4F5D7EB2" w14:textId="77777777" w:rsidR="004701F4" w:rsidRPr="004701F4" w:rsidRDefault="004701F4" w:rsidP="005621E7">
            <w:pPr>
              <w:jc w:val="center"/>
              <w:rPr>
                <w:rFonts w:cstheme="minorHAnsi"/>
                <w:b/>
                <w:bCs/>
                <w:sz w:val="16"/>
                <w:szCs w:val="16"/>
                <w:lang w:val="en-GB"/>
              </w:rPr>
            </w:pPr>
            <w:r w:rsidRPr="004701F4">
              <w:rPr>
                <w:b/>
                <w:sz w:val="16"/>
                <w:lang w:val="en-GB"/>
              </w:rPr>
              <w:lastRenderedPageBreak/>
              <w:t>Foreign trade in the furniture industry (incl. furniture made of metal and plastic)</w:t>
            </w:r>
          </w:p>
        </w:tc>
      </w:tr>
      <w:tr w:rsidR="004701F4" w:rsidRPr="00A65462" w14:paraId="485C6F54" w14:textId="77777777" w:rsidTr="004701F4">
        <w:tc>
          <w:tcPr>
            <w:tcW w:w="1229" w:type="dxa"/>
            <w:tcBorders>
              <w:top w:val="nil"/>
              <w:left w:val="single" w:sz="4" w:space="0" w:color="auto"/>
              <w:bottom w:val="nil"/>
              <w:right w:val="nil"/>
            </w:tcBorders>
            <w:shd w:val="clear" w:color="auto" w:fill="FFFFFF" w:themeFill="background1"/>
            <w:noWrap/>
            <w:vAlign w:val="bottom"/>
            <w:hideMark/>
          </w:tcPr>
          <w:p w14:paraId="31EFBE74" w14:textId="77777777" w:rsidR="004701F4" w:rsidRPr="004701F4" w:rsidRDefault="004701F4" w:rsidP="005621E7">
            <w:pPr>
              <w:rPr>
                <w:rFonts w:cstheme="minorHAnsi"/>
                <w:color w:val="000000"/>
                <w:sz w:val="16"/>
                <w:szCs w:val="16"/>
                <w:lang w:val="en-GB"/>
              </w:rPr>
            </w:pPr>
            <w:r w:rsidRPr="004701F4">
              <w:rPr>
                <w:color w:val="000000"/>
                <w:sz w:val="16"/>
                <w:lang w:val="en-GB"/>
              </w:rPr>
              <w:t> </w:t>
            </w:r>
          </w:p>
        </w:tc>
        <w:tc>
          <w:tcPr>
            <w:tcW w:w="3493" w:type="dxa"/>
            <w:gridSpan w:val="4"/>
            <w:tcBorders>
              <w:top w:val="single" w:sz="4" w:space="0" w:color="auto"/>
              <w:left w:val="single" w:sz="4" w:space="0" w:color="auto"/>
              <w:bottom w:val="nil"/>
              <w:right w:val="single" w:sz="4" w:space="0" w:color="000000" w:themeColor="text1"/>
            </w:tcBorders>
            <w:shd w:val="clear" w:color="auto" w:fill="FFFFFF" w:themeFill="background1"/>
            <w:noWrap/>
            <w:vAlign w:val="bottom"/>
            <w:hideMark/>
          </w:tcPr>
          <w:p w14:paraId="556A42A7" w14:textId="77777777" w:rsidR="004701F4" w:rsidRPr="00A65462" w:rsidRDefault="004701F4" w:rsidP="005621E7">
            <w:pPr>
              <w:jc w:val="center"/>
              <w:rPr>
                <w:rFonts w:cstheme="minorHAnsi"/>
                <w:b/>
                <w:bCs/>
                <w:color w:val="000000"/>
                <w:sz w:val="16"/>
                <w:szCs w:val="16"/>
              </w:rPr>
            </w:pPr>
            <w:r w:rsidRPr="00A65462">
              <w:rPr>
                <w:b/>
                <w:color w:val="000000"/>
                <w:sz w:val="16"/>
              </w:rPr>
              <w:t>Belgian imports</w:t>
            </w:r>
          </w:p>
        </w:tc>
        <w:tc>
          <w:tcPr>
            <w:tcW w:w="3171" w:type="dxa"/>
            <w:gridSpan w:val="4"/>
            <w:tcBorders>
              <w:top w:val="nil"/>
              <w:left w:val="nil"/>
              <w:bottom w:val="nil"/>
              <w:right w:val="nil"/>
            </w:tcBorders>
            <w:shd w:val="clear" w:color="auto" w:fill="FFFFFF" w:themeFill="background1"/>
            <w:noWrap/>
            <w:vAlign w:val="bottom"/>
            <w:hideMark/>
          </w:tcPr>
          <w:p w14:paraId="688BEAB0" w14:textId="77777777" w:rsidR="004701F4" w:rsidRPr="00A65462" w:rsidRDefault="004701F4" w:rsidP="005621E7">
            <w:pPr>
              <w:jc w:val="center"/>
              <w:rPr>
                <w:rFonts w:cstheme="minorHAnsi"/>
                <w:b/>
                <w:bCs/>
                <w:color w:val="000000"/>
                <w:sz w:val="16"/>
                <w:szCs w:val="16"/>
              </w:rPr>
            </w:pPr>
            <w:r w:rsidRPr="00A65462">
              <w:rPr>
                <w:b/>
                <w:color w:val="000000"/>
                <w:sz w:val="16"/>
              </w:rPr>
              <w:t>Belgian exports</w:t>
            </w:r>
          </w:p>
        </w:tc>
        <w:tc>
          <w:tcPr>
            <w:tcW w:w="1046" w:type="dxa"/>
            <w:tcBorders>
              <w:top w:val="nil"/>
              <w:left w:val="single" w:sz="4" w:space="0" w:color="auto"/>
              <w:bottom w:val="nil"/>
              <w:right w:val="single" w:sz="4" w:space="0" w:color="auto"/>
            </w:tcBorders>
            <w:shd w:val="clear" w:color="auto" w:fill="FFFFFF" w:themeFill="background1"/>
            <w:noWrap/>
            <w:vAlign w:val="bottom"/>
            <w:hideMark/>
          </w:tcPr>
          <w:p w14:paraId="5AB762F6" w14:textId="77777777" w:rsidR="004701F4" w:rsidRPr="00A65462" w:rsidRDefault="004701F4" w:rsidP="005621E7">
            <w:pPr>
              <w:jc w:val="center"/>
              <w:rPr>
                <w:rFonts w:cstheme="minorHAnsi"/>
                <w:color w:val="000000"/>
                <w:sz w:val="16"/>
                <w:szCs w:val="16"/>
              </w:rPr>
            </w:pPr>
            <w:r w:rsidRPr="00A65462">
              <w:rPr>
                <w:color w:val="000000"/>
                <w:sz w:val="16"/>
              </w:rPr>
              <w:t>Percentage</w:t>
            </w:r>
          </w:p>
        </w:tc>
      </w:tr>
      <w:tr w:rsidR="004701F4" w:rsidRPr="00A65462" w14:paraId="3FF68B30" w14:textId="77777777" w:rsidTr="004701F4">
        <w:tc>
          <w:tcPr>
            <w:tcW w:w="1229" w:type="dxa"/>
            <w:tcBorders>
              <w:top w:val="nil"/>
              <w:left w:val="single" w:sz="4" w:space="0" w:color="auto"/>
              <w:bottom w:val="nil"/>
              <w:right w:val="nil"/>
            </w:tcBorders>
            <w:shd w:val="clear" w:color="auto" w:fill="FFFFFF" w:themeFill="background1"/>
            <w:noWrap/>
            <w:vAlign w:val="bottom"/>
            <w:hideMark/>
          </w:tcPr>
          <w:p w14:paraId="1D27BBF0" w14:textId="77777777" w:rsidR="004701F4" w:rsidRPr="00A65462" w:rsidRDefault="004701F4" w:rsidP="005621E7">
            <w:pPr>
              <w:rPr>
                <w:rFonts w:cstheme="minorHAnsi"/>
                <w:color w:val="000000"/>
                <w:sz w:val="16"/>
                <w:szCs w:val="16"/>
              </w:rPr>
            </w:pPr>
            <w:r w:rsidRPr="00A65462">
              <w:rPr>
                <w:color w:val="000000"/>
                <w:sz w:val="16"/>
              </w:rPr>
              <w:t> </w:t>
            </w:r>
          </w:p>
        </w:tc>
        <w:tc>
          <w:tcPr>
            <w:tcW w:w="674" w:type="dxa"/>
            <w:tcBorders>
              <w:top w:val="nil"/>
              <w:left w:val="single" w:sz="4" w:space="0" w:color="auto"/>
              <w:bottom w:val="nil"/>
              <w:right w:val="nil"/>
            </w:tcBorders>
            <w:shd w:val="clear" w:color="auto" w:fill="FFFFFF" w:themeFill="background1"/>
            <w:noWrap/>
            <w:vAlign w:val="bottom"/>
            <w:hideMark/>
          </w:tcPr>
          <w:p w14:paraId="1861B889" w14:textId="77777777" w:rsidR="004701F4" w:rsidRPr="00A65462" w:rsidRDefault="004701F4" w:rsidP="005621E7">
            <w:pPr>
              <w:jc w:val="center"/>
              <w:rPr>
                <w:rFonts w:cstheme="minorHAnsi"/>
                <w:color w:val="000000"/>
                <w:sz w:val="16"/>
                <w:szCs w:val="16"/>
              </w:rPr>
            </w:pPr>
            <w:r w:rsidRPr="00A65462">
              <w:rPr>
                <w:color w:val="000000"/>
                <w:sz w:val="16"/>
              </w:rPr>
              <w:t>Share</w:t>
            </w:r>
          </w:p>
        </w:tc>
        <w:tc>
          <w:tcPr>
            <w:tcW w:w="996" w:type="dxa"/>
            <w:tcBorders>
              <w:top w:val="nil"/>
              <w:left w:val="nil"/>
              <w:bottom w:val="nil"/>
              <w:right w:val="nil"/>
            </w:tcBorders>
            <w:shd w:val="clear" w:color="auto" w:fill="FFFFFF" w:themeFill="background1"/>
            <w:noWrap/>
            <w:vAlign w:val="bottom"/>
            <w:hideMark/>
          </w:tcPr>
          <w:p w14:paraId="77F12B25" w14:textId="77777777" w:rsidR="004701F4" w:rsidRPr="00A65462" w:rsidRDefault="004701F4" w:rsidP="005621E7">
            <w:pPr>
              <w:jc w:val="center"/>
              <w:rPr>
                <w:rFonts w:cstheme="minorHAnsi"/>
                <w:color w:val="000000"/>
                <w:sz w:val="16"/>
                <w:szCs w:val="16"/>
              </w:rPr>
            </w:pPr>
            <w:r w:rsidRPr="00A65462">
              <w:rPr>
                <w:color w:val="000000"/>
                <w:sz w:val="16"/>
              </w:rPr>
              <w:t> </w:t>
            </w:r>
          </w:p>
        </w:tc>
        <w:tc>
          <w:tcPr>
            <w:tcW w:w="996" w:type="dxa"/>
            <w:tcBorders>
              <w:top w:val="nil"/>
              <w:left w:val="nil"/>
              <w:bottom w:val="nil"/>
              <w:right w:val="nil"/>
            </w:tcBorders>
            <w:shd w:val="clear" w:color="auto" w:fill="FFFFFF" w:themeFill="background1"/>
            <w:noWrap/>
            <w:vAlign w:val="bottom"/>
            <w:hideMark/>
          </w:tcPr>
          <w:p w14:paraId="7A11204D" w14:textId="77777777" w:rsidR="004701F4" w:rsidRPr="00A65462" w:rsidRDefault="004701F4" w:rsidP="005621E7">
            <w:pPr>
              <w:jc w:val="center"/>
              <w:rPr>
                <w:rFonts w:cstheme="minorHAnsi"/>
                <w:color w:val="000000"/>
                <w:sz w:val="16"/>
                <w:szCs w:val="16"/>
              </w:rPr>
            </w:pPr>
            <w:r w:rsidRPr="00A65462">
              <w:rPr>
                <w:color w:val="000000"/>
                <w:sz w:val="16"/>
              </w:rPr>
              <w:t> </w:t>
            </w:r>
          </w:p>
        </w:tc>
        <w:tc>
          <w:tcPr>
            <w:tcW w:w="827" w:type="dxa"/>
            <w:tcBorders>
              <w:top w:val="nil"/>
              <w:left w:val="nil"/>
              <w:bottom w:val="nil"/>
              <w:right w:val="single" w:sz="4" w:space="0" w:color="auto"/>
            </w:tcBorders>
            <w:shd w:val="clear" w:color="auto" w:fill="FFFFFF" w:themeFill="background1"/>
            <w:noWrap/>
            <w:vAlign w:val="bottom"/>
            <w:hideMark/>
          </w:tcPr>
          <w:p w14:paraId="7E111F88" w14:textId="77777777" w:rsidR="004701F4" w:rsidRPr="00A65462" w:rsidRDefault="004701F4" w:rsidP="005621E7">
            <w:pPr>
              <w:jc w:val="center"/>
              <w:rPr>
                <w:rFonts w:cstheme="minorHAnsi"/>
                <w:color w:val="000000"/>
                <w:sz w:val="16"/>
                <w:szCs w:val="16"/>
              </w:rPr>
            </w:pPr>
            <w:r w:rsidRPr="00A65462">
              <w:rPr>
                <w:color w:val="000000"/>
                <w:sz w:val="16"/>
              </w:rPr>
              <w:t> </w:t>
            </w:r>
          </w:p>
        </w:tc>
        <w:tc>
          <w:tcPr>
            <w:tcW w:w="786" w:type="dxa"/>
            <w:tcBorders>
              <w:top w:val="nil"/>
              <w:left w:val="nil"/>
              <w:bottom w:val="nil"/>
              <w:right w:val="nil"/>
            </w:tcBorders>
            <w:shd w:val="clear" w:color="auto" w:fill="FFFFFF" w:themeFill="background1"/>
            <w:noWrap/>
            <w:vAlign w:val="bottom"/>
            <w:hideMark/>
          </w:tcPr>
          <w:p w14:paraId="71F3A475" w14:textId="77777777" w:rsidR="004701F4" w:rsidRPr="00A65462" w:rsidRDefault="004701F4" w:rsidP="005621E7">
            <w:pPr>
              <w:jc w:val="center"/>
              <w:rPr>
                <w:rFonts w:cstheme="minorHAnsi"/>
                <w:color w:val="000000"/>
                <w:sz w:val="16"/>
                <w:szCs w:val="16"/>
              </w:rPr>
            </w:pPr>
            <w:r w:rsidRPr="00A65462">
              <w:rPr>
                <w:color w:val="000000"/>
                <w:sz w:val="16"/>
              </w:rPr>
              <w:t>Share</w:t>
            </w:r>
          </w:p>
        </w:tc>
        <w:tc>
          <w:tcPr>
            <w:tcW w:w="873" w:type="dxa"/>
            <w:tcBorders>
              <w:top w:val="nil"/>
              <w:left w:val="nil"/>
              <w:bottom w:val="nil"/>
              <w:right w:val="nil"/>
            </w:tcBorders>
            <w:shd w:val="clear" w:color="auto" w:fill="FFFFFF" w:themeFill="background1"/>
            <w:noWrap/>
            <w:vAlign w:val="bottom"/>
            <w:hideMark/>
          </w:tcPr>
          <w:p w14:paraId="2AF906AE" w14:textId="77777777" w:rsidR="004701F4" w:rsidRPr="00A65462" w:rsidRDefault="004701F4" w:rsidP="005621E7">
            <w:pPr>
              <w:jc w:val="center"/>
              <w:rPr>
                <w:rFonts w:cstheme="minorHAnsi"/>
                <w:color w:val="000000"/>
                <w:sz w:val="16"/>
                <w:szCs w:val="16"/>
              </w:rPr>
            </w:pPr>
            <w:r w:rsidRPr="00A65462">
              <w:rPr>
                <w:color w:val="000000"/>
                <w:sz w:val="16"/>
              </w:rPr>
              <w:t> </w:t>
            </w:r>
          </w:p>
        </w:tc>
        <w:tc>
          <w:tcPr>
            <w:tcW w:w="873" w:type="dxa"/>
            <w:tcBorders>
              <w:top w:val="nil"/>
              <w:left w:val="nil"/>
              <w:bottom w:val="nil"/>
              <w:right w:val="nil"/>
            </w:tcBorders>
            <w:shd w:val="clear" w:color="auto" w:fill="FFFFFF" w:themeFill="background1"/>
            <w:noWrap/>
            <w:vAlign w:val="bottom"/>
            <w:hideMark/>
          </w:tcPr>
          <w:p w14:paraId="2E820386" w14:textId="77777777" w:rsidR="004701F4" w:rsidRPr="00A65462" w:rsidRDefault="004701F4" w:rsidP="005621E7">
            <w:pPr>
              <w:jc w:val="center"/>
              <w:rPr>
                <w:rFonts w:cstheme="minorHAnsi"/>
                <w:color w:val="000000"/>
                <w:sz w:val="16"/>
                <w:szCs w:val="16"/>
              </w:rPr>
            </w:pPr>
            <w:r w:rsidRPr="00A65462">
              <w:rPr>
                <w:color w:val="000000"/>
                <w:sz w:val="16"/>
              </w:rPr>
              <w:t> </w:t>
            </w:r>
          </w:p>
        </w:tc>
        <w:tc>
          <w:tcPr>
            <w:tcW w:w="639" w:type="dxa"/>
            <w:tcBorders>
              <w:top w:val="nil"/>
              <w:left w:val="nil"/>
              <w:bottom w:val="nil"/>
              <w:right w:val="nil"/>
            </w:tcBorders>
            <w:shd w:val="clear" w:color="auto" w:fill="FFFFFF" w:themeFill="background1"/>
            <w:noWrap/>
            <w:vAlign w:val="bottom"/>
            <w:hideMark/>
          </w:tcPr>
          <w:p w14:paraId="4CCDFC01" w14:textId="77777777" w:rsidR="004701F4" w:rsidRPr="00A65462" w:rsidRDefault="004701F4" w:rsidP="005621E7">
            <w:pPr>
              <w:jc w:val="center"/>
              <w:rPr>
                <w:rFonts w:cstheme="minorHAnsi"/>
                <w:color w:val="000000"/>
                <w:sz w:val="16"/>
                <w:szCs w:val="16"/>
              </w:rPr>
            </w:pPr>
            <w:r w:rsidRPr="00A65462">
              <w:rPr>
                <w:color w:val="000000"/>
                <w:sz w:val="16"/>
              </w:rPr>
              <w:t> </w:t>
            </w:r>
          </w:p>
        </w:tc>
        <w:tc>
          <w:tcPr>
            <w:tcW w:w="1046" w:type="dxa"/>
            <w:tcBorders>
              <w:top w:val="nil"/>
              <w:left w:val="single" w:sz="4" w:space="0" w:color="auto"/>
              <w:bottom w:val="nil"/>
              <w:right w:val="single" w:sz="4" w:space="0" w:color="auto"/>
            </w:tcBorders>
            <w:shd w:val="clear" w:color="auto" w:fill="FFFFFF" w:themeFill="background1"/>
            <w:noWrap/>
            <w:vAlign w:val="bottom"/>
            <w:hideMark/>
          </w:tcPr>
          <w:p w14:paraId="1549816A" w14:textId="77777777" w:rsidR="004701F4" w:rsidRPr="00A65462" w:rsidRDefault="004701F4" w:rsidP="005621E7">
            <w:pPr>
              <w:jc w:val="center"/>
              <w:rPr>
                <w:rFonts w:cstheme="minorHAnsi"/>
                <w:color w:val="000000"/>
                <w:sz w:val="16"/>
                <w:szCs w:val="16"/>
              </w:rPr>
            </w:pPr>
            <w:r w:rsidRPr="00A65462">
              <w:rPr>
                <w:color w:val="000000"/>
                <w:sz w:val="16"/>
              </w:rPr>
              <w:t>share</w:t>
            </w:r>
          </w:p>
        </w:tc>
      </w:tr>
      <w:tr w:rsidR="004701F4" w:rsidRPr="00A65462" w14:paraId="104E0886" w14:textId="77777777" w:rsidTr="004701F4">
        <w:tc>
          <w:tcPr>
            <w:tcW w:w="1229" w:type="dxa"/>
            <w:tcBorders>
              <w:top w:val="nil"/>
              <w:left w:val="single" w:sz="4" w:space="0" w:color="auto"/>
              <w:bottom w:val="nil"/>
              <w:right w:val="nil"/>
            </w:tcBorders>
            <w:shd w:val="clear" w:color="auto" w:fill="FFFFFF" w:themeFill="background1"/>
            <w:noWrap/>
            <w:vAlign w:val="bottom"/>
            <w:hideMark/>
          </w:tcPr>
          <w:p w14:paraId="70467572" w14:textId="77777777" w:rsidR="004701F4" w:rsidRPr="00A65462" w:rsidRDefault="004701F4" w:rsidP="005621E7">
            <w:pPr>
              <w:rPr>
                <w:rFonts w:cstheme="minorHAnsi"/>
                <w:color w:val="000000"/>
                <w:sz w:val="16"/>
                <w:szCs w:val="16"/>
              </w:rPr>
            </w:pPr>
            <w:r w:rsidRPr="00A65462">
              <w:rPr>
                <w:color w:val="000000"/>
                <w:sz w:val="16"/>
              </w:rPr>
              <w:t> </w:t>
            </w:r>
          </w:p>
        </w:tc>
        <w:tc>
          <w:tcPr>
            <w:tcW w:w="674" w:type="dxa"/>
            <w:tcBorders>
              <w:top w:val="nil"/>
              <w:left w:val="single" w:sz="4" w:space="0" w:color="auto"/>
              <w:bottom w:val="nil"/>
              <w:right w:val="nil"/>
            </w:tcBorders>
            <w:shd w:val="clear" w:color="auto" w:fill="FFFFFF" w:themeFill="background1"/>
            <w:noWrap/>
            <w:vAlign w:val="bottom"/>
            <w:hideMark/>
          </w:tcPr>
          <w:p w14:paraId="5A147B6B" w14:textId="77777777" w:rsidR="004701F4" w:rsidRPr="00A65462" w:rsidRDefault="004701F4" w:rsidP="005621E7">
            <w:pPr>
              <w:jc w:val="center"/>
              <w:rPr>
                <w:rFonts w:cstheme="minorHAnsi"/>
                <w:color w:val="000000"/>
                <w:sz w:val="16"/>
                <w:szCs w:val="16"/>
              </w:rPr>
            </w:pPr>
            <w:r w:rsidRPr="00A65462">
              <w:rPr>
                <w:color w:val="000000"/>
                <w:sz w:val="16"/>
              </w:rPr>
              <w:t>6m2023</w:t>
            </w:r>
          </w:p>
        </w:tc>
        <w:tc>
          <w:tcPr>
            <w:tcW w:w="996" w:type="dxa"/>
            <w:tcBorders>
              <w:top w:val="nil"/>
              <w:left w:val="nil"/>
              <w:bottom w:val="nil"/>
              <w:right w:val="nil"/>
            </w:tcBorders>
            <w:shd w:val="clear" w:color="auto" w:fill="FFFFFF" w:themeFill="background1"/>
            <w:noWrap/>
            <w:vAlign w:val="bottom"/>
            <w:hideMark/>
          </w:tcPr>
          <w:p w14:paraId="5ECF8C04" w14:textId="77777777" w:rsidR="004701F4" w:rsidRPr="00A65462" w:rsidRDefault="004701F4" w:rsidP="005621E7">
            <w:pPr>
              <w:jc w:val="center"/>
              <w:rPr>
                <w:rFonts w:cstheme="minorHAnsi"/>
                <w:color w:val="000000"/>
                <w:sz w:val="16"/>
                <w:szCs w:val="16"/>
              </w:rPr>
            </w:pPr>
            <w:r w:rsidRPr="00A65462">
              <w:rPr>
                <w:color w:val="000000"/>
                <w:sz w:val="16"/>
              </w:rPr>
              <w:t>6m2022</w:t>
            </w:r>
          </w:p>
        </w:tc>
        <w:tc>
          <w:tcPr>
            <w:tcW w:w="996" w:type="dxa"/>
            <w:tcBorders>
              <w:top w:val="nil"/>
              <w:left w:val="nil"/>
              <w:bottom w:val="nil"/>
              <w:right w:val="nil"/>
            </w:tcBorders>
            <w:shd w:val="clear" w:color="auto" w:fill="FFFFFF" w:themeFill="background1"/>
            <w:noWrap/>
            <w:vAlign w:val="bottom"/>
            <w:hideMark/>
          </w:tcPr>
          <w:p w14:paraId="5B3B4E9E" w14:textId="77777777" w:rsidR="004701F4" w:rsidRPr="00A65462" w:rsidRDefault="004701F4" w:rsidP="005621E7">
            <w:pPr>
              <w:jc w:val="center"/>
              <w:rPr>
                <w:rFonts w:cstheme="minorHAnsi"/>
                <w:color w:val="000000"/>
                <w:sz w:val="16"/>
                <w:szCs w:val="16"/>
              </w:rPr>
            </w:pPr>
            <w:r w:rsidRPr="00A65462">
              <w:rPr>
                <w:color w:val="000000"/>
                <w:sz w:val="16"/>
              </w:rPr>
              <w:t>6m2023</w:t>
            </w:r>
          </w:p>
        </w:tc>
        <w:tc>
          <w:tcPr>
            <w:tcW w:w="827" w:type="dxa"/>
            <w:tcBorders>
              <w:top w:val="nil"/>
              <w:left w:val="nil"/>
              <w:bottom w:val="nil"/>
              <w:right w:val="single" w:sz="4" w:space="0" w:color="auto"/>
            </w:tcBorders>
            <w:shd w:val="clear" w:color="auto" w:fill="FFFFFF" w:themeFill="background1"/>
            <w:noWrap/>
            <w:vAlign w:val="bottom"/>
            <w:hideMark/>
          </w:tcPr>
          <w:p w14:paraId="0D43E316" w14:textId="77777777" w:rsidR="004701F4" w:rsidRPr="00A65462" w:rsidRDefault="004701F4" w:rsidP="005621E7">
            <w:pPr>
              <w:jc w:val="center"/>
              <w:rPr>
                <w:rFonts w:cstheme="minorHAnsi"/>
                <w:color w:val="000000"/>
                <w:sz w:val="16"/>
                <w:szCs w:val="16"/>
              </w:rPr>
            </w:pPr>
            <w:r w:rsidRPr="00A65462">
              <w:rPr>
                <w:color w:val="000000"/>
                <w:sz w:val="16"/>
              </w:rPr>
              <w:t>6m</w:t>
            </w:r>
          </w:p>
        </w:tc>
        <w:tc>
          <w:tcPr>
            <w:tcW w:w="786" w:type="dxa"/>
            <w:tcBorders>
              <w:top w:val="nil"/>
              <w:left w:val="nil"/>
              <w:bottom w:val="nil"/>
              <w:right w:val="nil"/>
            </w:tcBorders>
            <w:shd w:val="clear" w:color="auto" w:fill="FFFFFF" w:themeFill="background1"/>
            <w:noWrap/>
            <w:vAlign w:val="bottom"/>
            <w:hideMark/>
          </w:tcPr>
          <w:p w14:paraId="006B74C0" w14:textId="77777777" w:rsidR="004701F4" w:rsidRPr="00A65462" w:rsidRDefault="004701F4" w:rsidP="005621E7">
            <w:pPr>
              <w:jc w:val="center"/>
              <w:rPr>
                <w:rFonts w:cstheme="minorHAnsi"/>
                <w:color w:val="000000"/>
                <w:sz w:val="16"/>
                <w:szCs w:val="16"/>
              </w:rPr>
            </w:pPr>
            <w:r w:rsidRPr="00A65462">
              <w:rPr>
                <w:color w:val="000000"/>
                <w:sz w:val="16"/>
              </w:rPr>
              <w:t>6m2023</w:t>
            </w:r>
          </w:p>
        </w:tc>
        <w:tc>
          <w:tcPr>
            <w:tcW w:w="873" w:type="dxa"/>
            <w:tcBorders>
              <w:top w:val="nil"/>
              <w:left w:val="nil"/>
              <w:bottom w:val="nil"/>
              <w:right w:val="nil"/>
            </w:tcBorders>
            <w:shd w:val="clear" w:color="auto" w:fill="FFFFFF" w:themeFill="background1"/>
            <w:noWrap/>
            <w:vAlign w:val="bottom"/>
            <w:hideMark/>
          </w:tcPr>
          <w:p w14:paraId="356A8E3E" w14:textId="77777777" w:rsidR="004701F4" w:rsidRPr="00A65462" w:rsidRDefault="004701F4" w:rsidP="005621E7">
            <w:pPr>
              <w:jc w:val="center"/>
              <w:rPr>
                <w:rFonts w:cstheme="minorHAnsi"/>
                <w:color w:val="000000"/>
                <w:sz w:val="16"/>
                <w:szCs w:val="16"/>
              </w:rPr>
            </w:pPr>
            <w:r w:rsidRPr="00A65462">
              <w:rPr>
                <w:color w:val="000000"/>
                <w:sz w:val="16"/>
              </w:rPr>
              <w:t>6m2022</w:t>
            </w:r>
          </w:p>
        </w:tc>
        <w:tc>
          <w:tcPr>
            <w:tcW w:w="873" w:type="dxa"/>
            <w:tcBorders>
              <w:top w:val="nil"/>
              <w:left w:val="nil"/>
              <w:bottom w:val="nil"/>
              <w:right w:val="nil"/>
            </w:tcBorders>
            <w:shd w:val="clear" w:color="auto" w:fill="FFFFFF" w:themeFill="background1"/>
            <w:noWrap/>
            <w:vAlign w:val="bottom"/>
            <w:hideMark/>
          </w:tcPr>
          <w:p w14:paraId="53DFA59C" w14:textId="77777777" w:rsidR="004701F4" w:rsidRPr="00A65462" w:rsidRDefault="004701F4" w:rsidP="005621E7">
            <w:pPr>
              <w:jc w:val="center"/>
              <w:rPr>
                <w:rFonts w:cstheme="minorHAnsi"/>
                <w:color w:val="000000"/>
                <w:sz w:val="16"/>
                <w:szCs w:val="16"/>
              </w:rPr>
            </w:pPr>
            <w:r w:rsidRPr="00A65462">
              <w:rPr>
                <w:color w:val="000000"/>
                <w:sz w:val="16"/>
              </w:rPr>
              <w:t>6m2023</w:t>
            </w:r>
          </w:p>
        </w:tc>
        <w:tc>
          <w:tcPr>
            <w:tcW w:w="639" w:type="dxa"/>
            <w:tcBorders>
              <w:top w:val="nil"/>
              <w:left w:val="nil"/>
              <w:bottom w:val="nil"/>
              <w:right w:val="single" w:sz="4" w:space="0" w:color="auto"/>
            </w:tcBorders>
            <w:shd w:val="clear" w:color="auto" w:fill="FFFFFF" w:themeFill="background1"/>
            <w:noWrap/>
            <w:vAlign w:val="bottom"/>
            <w:hideMark/>
          </w:tcPr>
          <w:p w14:paraId="45E122BF" w14:textId="77777777" w:rsidR="004701F4" w:rsidRPr="00A65462" w:rsidRDefault="004701F4" w:rsidP="005621E7">
            <w:pPr>
              <w:jc w:val="center"/>
              <w:rPr>
                <w:rFonts w:cstheme="minorHAnsi"/>
                <w:color w:val="000000"/>
                <w:sz w:val="16"/>
                <w:szCs w:val="16"/>
              </w:rPr>
            </w:pPr>
            <w:r w:rsidRPr="00A65462">
              <w:rPr>
                <w:color w:val="000000"/>
                <w:sz w:val="16"/>
              </w:rPr>
              <w:t>6m</w:t>
            </w:r>
          </w:p>
        </w:tc>
        <w:tc>
          <w:tcPr>
            <w:tcW w:w="1046" w:type="dxa"/>
            <w:tcBorders>
              <w:top w:val="nil"/>
              <w:left w:val="nil"/>
              <w:bottom w:val="nil"/>
              <w:right w:val="single" w:sz="4" w:space="0" w:color="auto"/>
            </w:tcBorders>
            <w:shd w:val="clear" w:color="auto" w:fill="FFFFFF" w:themeFill="background1"/>
            <w:noWrap/>
            <w:vAlign w:val="bottom"/>
            <w:hideMark/>
          </w:tcPr>
          <w:p w14:paraId="68FEC164" w14:textId="77777777" w:rsidR="004701F4" w:rsidRPr="00A65462" w:rsidRDefault="004701F4" w:rsidP="005621E7">
            <w:pPr>
              <w:jc w:val="center"/>
              <w:rPr>
                <w:rFonts w:cstheme="minorHAnsi"/>
                <w:color w:val="000000"/>
                <w:sz w:val="16"/>
                <w:szCs w:val="16"/>
              </w:rPr>
            </w:pPr>
            <w:r w:rsidRPr="00A65462">
              <w:rPr>
                <w:color w:val="000000"/>
                <w:sz w:val="16"/>
              </w:rPr>
              <w:t>6m2023</w:t>
            </w:r>
          </w:p>
        </w:tc>
      </w:tr>
      <w:tr w:rsidR="004701F4" w:rsidRPr="00A65462" w14:paraId="566567EB" w14:textId="77777777" w:rsidTr="004701F4">
        <w:tc>
          <w:tcPr>
            <w:tcW w:w="1229" w:type="dxa"/>
            <w:tcBorders>
              <w:top w:val="single" w:sz="4" w:space="0" w:color="FFFFFF" w:themeColor="background1"/>
              <w:left w:val="single" w:sz="4" w:space="0" w:color="auto"/>
              <w:bottom w:val="single" w:sz="4" w:space="0" w:color="auto"/>
              <w:right w:val="nil"/>
            </w:tcBorders>
            <w:shd w:val="clear" w:color="auto" w:fill="FFFFFF" w:themeFill="background1"/>
            <w:noWrap/>
            <w:vAlign w:val="bottom"/>
            <w:hideMark/>
          </w:tcPr>
          <w:p w14:paraId="1CA9C570" w14:textId="77777777" w:rsidR="004701F4" w:rsidRPr="00A65462" w:rsidRDefault="004701F4" w:rsidP="005621E7">
            <w:pPr>
              <w:rPr>
                <w:rFonts w:cstheme="minorHAnsi"/>
                <w:b/>
                <w:bCs/>
                <w:color w:val="000000"/>
                <w:sz w:val="16"/>
                <w:szCs w:val="16"/>
              </w:rPr>
            </w:pPr>
            <w:r w:rsidRPr="00A65462">
              <w:rPr>
                <w:b/>
                <w:color w:val="000000"/>
                <w:sz w:val="16"/>
              </w:rPr>
              <w:t>Countries</w:t>
            </w:r>
          </w:p>
        </w:tc>
        <w:tc>
          <w:tcPr>
            <w:tcW w:w="674"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noWrap/>
            <w:vAlign w:val="bottom"/>
            <w:hideMark/>
          </w:tcPr>
          <w:p w14:paraId="38081B7A" w14:textId="77777777" w:rsidR="004701F4" w:rsidRPr="00A65462" w:rsidRDefault="004701F4" w:rsidP="005621E7">
            <w:pPr>
              <w:jc w:val="center"/>
              <w:rPr>
                <w:rFonts w:cstheme="minorHAnsi"/>
                <w:color w:val="000000"/>
                <w:sz w:val="16"/>
                <w:szCs w:val="16"/>
              </w:rPr>
            </w:pPr>
            <w:r w:rsidRPr="00A65462">
              <w:rPr>
                <w:color w:val="000000"/>
                <w:sz w:val="16"/>
              </w:rPr>
              <w:t>in %</w:t>
            </w:r>
          </w:p>
        </w:tc>
        <w:tc>
          <w:tcPr>
            <w:tcW w:w="996"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2A12DD3B" w14:textId="77777777" w:rsidR="004701F4" w:rsidRPr="00A65462" w:rsidRDefault="004701F4" w:rsidP="005621E7">
            <w:pPr>
              <w:jc w:val="center"/>
              <w:rPr>
                <w:rFonts w:cstheme="minorHAnsi"/>
                <w:color w:val="000000"/>
                <w:sz w:val="16"/>
                <w:szCs w:val="16"/>
              </w:rPr>
            </w:pPr>
            <w:r w:rsidRPr="00A65462">
              <w:rPr>
                <w:color w:val="000000"/>
                <w:sz w:val="16"/>
              </w:rPr>
              <w:t>1,000 EUR</w:t>
            </w:r>
          </w:p>
        </w:tc>
        <w:tc>
          <w:tcPr>
            <w:tcW w:w="996"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30BDE5F8" w14:textId="77777777" w:rsidR="004701F4" w:rsidRPr="00A65462" w:rsidRDefault="004701F4" w:rsidP="005621E7">
            <w:pPr>
              <w:jc w:val="center"/>
              <w:rPr>
                <w:rFonts w:cstheme="minorHAnsi"/>
                <w:color w:val="000000"/>
                <w:sz w:val="16"/>
                <w:szCs w:val="16"/>
              </w:rPr>
            </w:pPr>
            <w:r w:rsidRPr="00A65462">
              <w:rPr>
                <w:color w:val="000000"/>
                <w:sz w:val="16"/>
              </w:rPr>
              <w:t>1,000 EUR</w:t>
            </w:r>
          </w:p>
        </w:tc>
        <w:tc>
          <w:tcPr>
            <w:tcW w:w="827" w:type="dxa"/>
            <w:tcBorders>
              <w:top w:val="nil"/>
              <w:left w:val="nil"/>
              <w:bottom w:val="single" w:sz="4" w:space="0" w:color="auto"/>
              <w:right w:val="single" w:sz="4" w:space="0" w:color="auto"/>
            </w:tcBorders>
            <w:shd w:val="clear" w:color="auto" w:fill="FFFFFF" w:themeFill="background1"/>
            <w:noWrap/>
            <w:vAlign w:val="bottom"/>
            <w:hideMark/>
          </w:tcPr>
          <w:p w14:paraId="002C2427" w14:textId="77777777" w:rsidR="004701F4" w:rsidRPr="00A65462" w:rsidRDefault="004701F4" w:rsidP="005621E7">
            <w:pPr>
              <w:jc w:val="center"/>
              <w:rPr>
                <w:rFonts w:cstheme="minorHAnsi"/>
                <w:color w:val="000000"/>
                <w:sz w:val="16"/>
                <w:szCs w:val="16"/>
              </w:rPr>
            </w:pPr>
            <w:r w:rsidRPr="00A65462">
              <w:rPr>
                <w:color w:val="000000"/>
                <w:sz w:val="16"/>
              </w:rPr>
              <w:t>22/21</w:t>
            </w:r>
          </w:p>
        </w:tc>
        <w:tc>
          <w:tcPr>
            <w:tcW w:w="786"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3873A377" w14:textId="77777777" w:rsidR="004701F4" w:rsidRPr="00A65462" w:rsidRDefault="004701F4" w:rsidP="005621E7">
            <w:pPr>
              <w:jc w:val="center"/>
              <w:rPr>
                <w:rFonts w:cstheme="minorHAnsi"/>
                <w:color w:val="000000"/>
                <w:sz w:val="16"/>
                <w:szCs w:val="16"/>
              </w:rPr>
            </w:pPr>
            <w:r w:rsidRPr="00A65462">
              <w:rPr>
                <w:color w:val="000000"/>
                <w:sz w:val="16"/>
              </w:rPr>
              <w:t>in %</w:t>
            </w:r>
          </w:p>
        </w:tc>
        <w:tc>
          <w:tcPr>
            <w:tcW w:w="873"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4752E805" w14:textId="77777777" w:rsidR="004701F4" w:rsidRPr="00A65462" w:rsidRDefault="004701F4" w:rsidP="005621E7">
            <w:pPr>
              <w:jc w:val="center"/>
              <w:rPr>
                <w:rFonts w:cstheme="minorHAnsi"/>
                <w:color w:val="000000"/>
                <w:sz w:val="16"/>
                <w:szCs w:val="16"/>
              </w:rPr>
            </w:pPr>
            <w:r w:rsidRPr="00A65462">
              <w:rPr>
                <w:color w:val="000000"/>
                <w:sz w:val="16"/>
              </w:rPr>
              <w:t>1,000 EUR</w:t>
            </w:r>
          </w:p>
        </w:tc>
        <w:tc>
          <w:tcPr>
            <w:tcW w:w="873"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529BDD3C" w14:textId="77777777" w:rsidR="004701F4" w:rsidRPr="00A65462" w:rsidRDefault="004701F4" w:rsidP="005621E7">
            <w:pPr>
              <w:jc w:val="center"/>
              <w:rPr>
                <w:rFonts w:cstheme="minorHAnsi"/>
                <w:color w:val="000000"/>
                <w:sz w:val="16"/>
                <w:szCs w:val="16"/>
              </w:rPr>
            </w:pPr>
            <w:r w:rsidRPr="00A65462">
              <w:rPr>
                <w:color w:val="000000"/>
                <w:sz w:val="16"/>
              </w:rPr>
              <w:t>1,000 EUR</w:t>
            </w:r>
          </w:p>
        </w:tc>
        <w:tc>
          <w:tcPr>
            <w:tcW w:w="639" w:type="dxa"/>
            <w:tcBorders>
              <w:top w:val="nil"/>
              <w:left w:val="nil"/>
              <w:bottom w:val="single" w:sz="4" w:space="0" w:color="auto"/>
              <w:right w:val="single" w:sz="4" w:space="0" w:color="auto"/>
            </w:tcBorders>
            <w:shd w:val="clear" w:color="auto" w:fill="FFFFFF" w:themeFill="background1"/>
            <w:noWrap/>
            <w:vAlign w:val="bottom"/>
            <w:hideMark/>
          </w:tcPr>
          <w:p w14:paraId="40832355" w14:textId="77777777" w:rsidR="004701F4" w:rsidRPr="00A65462" w:rsidRDefault="004701F4" w:rsidP="005621E7">
            <w:pPr>
              <w:jc w:val="center"/>
              <w:rPr>
                <w:rFonts w:cstheme="minorHAnsi"/>
                <w:color w:val="000000"/>
                <w:sz w:val="16"/>
                <w:szCs w:val="16"/>
              </w:rPr>
            </w:pPr>
            <w:r w:rsidRPr="00A65462">
              <w:rPr>
                <w:color w:val="000000"/>
                <w:sz w:val="16"/>
              </w:rPr>
              <w:t>22/21</w:t>
            </w:r>
          </w:p>
        </w:tc>
        <w:tc>
          <w:tcPr>
            <w:tcW w:w="1046" w:type="dxa"/>
            <w:tcBorders>
              <w:top w:val="single" w:sz="4" w:space="0" w:color="FFFFFF" w:themeColor="background1"/>
              <w:left w:val="nil"/>
              <w:bottom w:val="single" w:sz="4" w:space="0" w:color="auto"/>
              <w:right w:val="single" w:sz="4" w:space="0" w:color="auto"/>
            </w:tcBorders>
            <w:shd w:val="clear" w:color="auto" w:fill="FFFFFF" w:themeFill="background1"/>
            <w:noWrap/>
            <w:vAlign w:val="bottom"/>
            <w:hideMark/>
          </w:tcPr>
          <w:p w14:paraId="01EF5A3C" w14:textId="77777777" w:rsidR="004701F4" w:rsidRPr="00A65462" w:rsidRDefault="004701F4" w:rsidP="005621E7">
            <w:pPr>
              <w:jc w:val="center"/>
              <w:rPr>
                <w:rFonts w:cstheme="minorHAnsi"/>
                <w:color w:val="000000"/>
                <w:sz w:val="16"/>
                <w:szCs w:val="16"/>
              </w:rPr>
            </w:pPr>
            <w:r w:rsidRPr="00A65462">
              <w:rPr>
                <w:color w:val="000000"/>
                <w:sz w:val="16"/>
              </w:rPr>
              <w:t>(Exp/imp)</w:t>
            </w:r>
          </w:p>
        </w:tc>
      </w:tr>
      <w:tr w:rsidR="004701F4" w:rsidRPr="00A65462" w14:paraId="15376618" w14:textId="77777777" w:rsidTr="004701F4">
        <w:tc>
          <w:tcPr>
            <w:tcW w:w="1229" w:type="dxa"/>
            <w:tcBorders>
              <w:top w:val="single" w:sz="4" w:space="0" w:color="FFFFFF" w:themeColor="background1"/>
              <w:left w:val="single" w:sz="4" w:space="0" w:color="auto"/>
              <w:bottom w:val="single" w:sz="4" w:space="0" w:color="FFFFFF" w:themeColor="background1"/>
              <w:right w:val="nil"/>
            </w:tcBorders>
            <w:shd w:val="clear" w:color="auto" w:fill="auto"/>
            <w:vAlign w:val="bottom"/>
            <w:hideMark/>
          </w:tcPr>
          <w:p w14:paraId="0B507E17" w14:textId="77777777" w:rsidR="004701F4" w:rsidRPr="00A65462" w:rsidRDefault="004701F4" w:rsidP="005621E7">
            <w:pPr>
              <w:rPr>
                <w:rFonts w:cstheme="minorHAnsi"/>
                <w:color w:val="000000"/>
                <w:sz w:val="16"/>
                <w:szCs w:val="16"/>
              </w:rPr>
            </w:pPr>
            <w:r w:rsidRPr="00A65462">
              <w:rPr>
                <w:color w:val="000000"/>
                <w:sz w:val="16"/>
              </w:rPr>
              <w:t>France</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A01E90F" w14:textId="77777777" w:rsidR="004701F4" w:rsidRPr="00A65462" w:rsidRDefault="004701F4" w:rsidP="005621E7">
            <w:pPr>
              <w:jc w:val="right"/>
              <w:rPr>
                <w:rFonts w:cstheme="minorHAnsi"/>
                <w:color w:val="000000"/>
                <w:sz w:val="16"/>
                <w:szCs w:val="16"/>
              </w:rPr>
            </w:pPr>
            <w:r w:rsidRPr="00A65462">
              <w:rPr>
                <w:color w:val="000000"/>
                <w:sz w:val="16"/>
              </w:rPr>
              <w:t>6.1</w:t>
            </w:r>
          </w:p>
        </w:tc>
        <w:tc>
          <w:tcPr>
            <w:tcW w:w="996"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2656C0D6" w14:textId="77777777" w:rsidR="004701F4" w:rsidRPr="00A65462" w:rsidRDefault="004701F4" w:rsidP="005621E7">
            <w:pPr>
              <w:jc w:val="right"/>
              <w:rPr>
                <w:rFonts w:cstheme="minorHAnsi"/>
                <w:color w:val="000000"/>
                <w:sz w:val="16"/>
                <w:szCs w:val="16"/>
              </w:rPr>
            </w:pPr>
            <w:r w:rsidRPr="00A65462">
              <w:rPr>
                <w:color w:val="000000"/>
                <w:sz w:val="16"/>
              </w:rPr>
              <w:t>82,346.5</w:t>
            </w:r>
          </w:p>
        </w:tc>
        <w:tc>
          <w:tcPr>
            <w:tcW w:w="996"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6930AA28" w14:textId="77777777" w:rsidR="004701F4" w:rsidRPr="00A65462" w:rsidRDefault="004701F4" w:rsidP="005621E7">
            <w:pPr>
              <w:jc w:val="right"/>
              <w:rPr>
                <w:rFonts w:cstheme="minorHAnsi"/>
                <w:color w:val="000000"/>
                <w:sz w:val="16"/>
                <w:szCs w:val="16"/>
              </w:rPr>
            </w:pPr>
            <w:r w:rsidRPr="00A65462">
              <w:rPr>
                <w:color w:val="000000"/>
                <w:sz w:val="16"/>
              </w:rPr>
              <w:t>74,058.1</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0AFCA743" w14:textId="77777777" w:rsidR="004701F4" w:rsidRPr="00A65462" w:rsidRDefault="004701F4" w:rsidP="005621E7">
            <w:pPr>
              <w:jc w:val="right"/>
              <w:rPr>
                <w:rFonts w:cstheme="minorHAnsi"/>
                <w:color w:val="000000"/>
                <w:sz w:val="16"/>
                <w:szCs w:val="16"/>
              </w:rPr>
            </w:pPr>
            <w:r w:rsidRPr="00A65462">
              <w:rPr>
                <w:color w:val="000000"/>
                <w:sz w:val="16"/>
              </w:rPr>
              <w:t>-10.1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9A969F1" w14:textId="77777777" w:rsidR="004701F4" w:rsidRPr="00A65462" w:rsidRDefault="004701F4" w:rsidP="005621E7">
            <w:pPr>
              <w:jc w:val="right"/>
              <w:rPr>
                <w:rFonts w:cstheme="minorHAnsi"/>
                <w:color w:val="000000"/>
                <w:sz w:val="16"/>
                <w:szCs w:val="16"/>
              </w:rPr>
            </w:pPr>
            <w:r w:rsidRPr="00A65462">
              <w:rPr>
                <w:color w:val="000000"/>
                <w:sz w:val="16"/>
              </w:rPr>
              <w:t>34.3</w:t>
            </w:r>
          </w:p>
        </w:tc>
        <w:tc>
          <w:tcPr>
            <w:tcW w:w="873"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135209A9" w14:textId="77777777" w:rsidR="004701F4" w:rsidRPr="00A65462" w:rsidRDefault="004701F4" w:rsidP="005621E7">
            <w:pPr>
              <w:jc w:val="right"/>
              <w:rPr>
                <w:rFonts w:cstheme="minorHAnsi"/>
                <w:color w:val="000000"/>
                <w:sz w:val="16"/>
                <w:szCs w:val="16"/>
              </w:rPr>
            </w:pPr>
            <w:r w:rsidRPr="00A65462">
              <w:rPr>
                <w:color w:val="000000"/>
                <w:sz w:val="16"/>
              </w:rPr>
              <w:t>359,564.3</w:t>
            </w:r>
          </w:p>
        </w:tc>
        <w:tc>
          <w:tcPr>
            <w:tcW w:w="873"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4D495A55" w14:textId="77777777" w:rsidR="004701F4" w:rsidRPr="00A65462" w:rsidRDefault="004701F4" w:rsidP="005621E7">
            <w:pPr>
              <w:jc w:val="right"/>
              <w:rPr>
                <w:rFonts w:cstheme="minorHAnsi"/>
                <w:color w:val="000000"/>
                <w:sz w:val="16"/>
                <w:szCs w:val="16"/>
              </w:rPr>
            </w:pPr>
            <w:r w:rsidRPr="00A65462">
              <w:rPr>
                <w:color w:val="000000"/>
                <w:sz w:val="16"/>
              </w:rPr>
              <w:t>274,911.1</w:t>
            </w:r>
          </w:p>
        </w:tc>
        <w:tc>
          <w:tcPr>
            <w:tcW w:w="639" w:type="dxa"/>
            <w:tcBorders>
              <w:top w:val="nil"/>
              <w:left w:val="nil"/>
              <w:bottom w:val="single" w:sz="4" w:space="0" w:color="FFFFFF" w:themeColor="background1"/>
              <w:right w:val="nil"/>
            </w:tcBorders>
            <w:shd w:val="clear" w:color="auto" w:fill="auto"/>
            <w:noWrap/>
            <w:vAlign w:val="bottom"/>
            <w:hideMark/>
          </w:tcPr>
          <w:p w14:paraId="121B42BA" w14:textId="77777777" w:rsidR="004701F4" w:rsidRPr="00A65462" w:rsidRDefault="004701F4" w:rsidP="005621E7">
            <w:pPr>
              <w:jc w:val="right"/>
              <w:rPr>
                <w:rFonts w:cstheme="minorHAnsi"/>
                <w:color w:val="000000"/>
                <w:sz w:val="16"/>
                <w:szCs w:val="16"/>
              </w:rPr>
            </w:pPr>
            <w:r w:rsidRPr="00A65462">
              <w:rPr>
                <w:color w:val="000000"/>
                <w:sz w:val="16"/>
              </w:rPr>
              <w:t>-23.5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ADB96DD" w14:textId="77777777" w:rsidR="004701F4" w:rsidRPr="00A65462" w:rsidRDefault="004701F4" w:rsidP="005621E7">
            <w:pPr>
              <w:jc w:val="right"/>
              <w:rPr>
                <w:rFonts w:cstheme="minorHAnsi"/>
                <w:color w:val="000000"/>
                <w:sz w:val="16"/>
                <w:szCs w:val="16"/>
              </w:rPr>
            </w:pPr>
            <w:r w:rsidRPr="00A65462">
              <w:rPr>
                <w:color w:val="000000"/>
                <w:sz w:val="16"/>
              </w:rPr>
              <w:t>371.2</w:t>
            </w:r>
          </w:p>
        </w:tc>
      </w:tr>
      <w:tr w:rsidR="004701F4" w:rsidRPr="00A65462" w14:paraId="77E9CC14"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095456FA" w14:textId="77777777" w:rsidR="004701F4" w:rsidRPr="00A65462" w:rsidRDefault="004701F4" w:rsidP="005621E7">
            <w:pPr>
              <w:rPr>
                <w:rFonts w:cstheme="minorHAnsi"/>
                <w:color w:val="000000"/>
                <w:sz w:val="16"/>
                <w:szCs w:val="16"/>
              </w:rPr>
            </w:pPr>
            <w:r w:rsidRPr="00A65462">
              <w:rPr>
                <w:color w:val="000000"/>
                <w:sz w:val="16"/>
              </w:rPr>
              <w:t>Netherlands</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3996767" w14:textId="77777777" w:rsidR="004701F4" w:rsidRPr="00A65462" w:rsidRDefault="004701F4" w:rsidP="005621E7">
            <w:pPr>
              <w:jc w:val="right"/>
              <w:rPr>
                <w:rFonts w:cstheme="minorHAnsi"/>
                <w:color w:val="000000"/>
                <w:sz w:val="16"/>
                <w:szCs w:val="16"/>
              </w:rPr>
            </w:pPr>
            <w:r w:rsidRPr="00A65462">
              <w:rPr>
                <w:color w:val="000000"/>
                <w:sz w:val="16"/>
              </w:rPr>
              <w:t>16.5</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2F207ED6" w14:textId="77777777" w:rsidR="004701F4" w:rsidRPr="00A65462" w:rsidRDefault="004701F4" w:rsidP="005621E7">
            <w:pPr>
              <w:jc w:val="right"/>
              <w:rPr>
                <w:rFonts w:cstheme="minorHAnsi"/>
                <w:color w:val="000000"/>
                <w:sz w:val="16"/>
                <w:szCs w:val="16"/>
              </w:rPr>
            </w:pPr>
            <w:r w:rsidRPr="00A65462">
              <w:rPr>
                <w:color w:val="000000"/>
                <w:sz w:val="16"/>
              </w:rPr>
              <w:t>201,719.8</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0CAE95DC" w14:textId="77777777" w:rsidR="004701F4" w:rsidRPr="00A65462" w:rsidRDefault="004701F4" w:rsidP="005621E7">
            <w:pPr>
              <w:jc w:val="right"/>
              <w:rPr>
                <w:rFonts w:cstheme="minorHAnsi"/>
                <w:color w:val="000000"/>
                <w:sz w:val="16"/>
                <w:szCs w:val="16"/>
              </w:rPr>
            </w:pPr>
            <w:r w:rsidRPr="00A65462">
              <w:rPr>
                <w:color w:val="000000"/>
                <w:sz w:val="16"/>
              </w:rPr>
              <w:t>200,668.2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0B7E2A7" w14:textId="77777777" w:rsidR="004701F4" w:rsidRPr="00A65462" w:rsidRDefault="004701F4" w:rsidP="005621E7">
            <w:pPr>
              <w:jc w:val="right"/>
              <w:rPr>
                <w:rFonts w:cstheme="minorHAnsi"/>
                <w:color w:val="000000"/>
                <w:sz w:val="16"/>
                <w:szCs w:val="16"/>
              </w:rPr>
            </w:pPr>
            <w:r w:rsidRPr="00A65462">
              <w:rPr>
                <w:color w:val="000000"/>
                <w:sz w:val="16"/>
              </w:rPr>
              <w:t>-0.5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97EF051" w14:textId="77777777" w:rsidR="004701F4" w:rsidRPr="00A65462" w:rsidRDefault="004701F4" w:rsidP="005621E7">
            <w:pPr>
              <w:jc w:val="right"/>
              <w:rPr>
                <w:rFonts w:cstheme="minorHAnsi"/>
                <w:color w:val="000000"/>
                <w:sz w:val="16"/>
                <w:szCs w:val="16"/>
              </w:rPr>
            </w:pPr>
            <w:r w:rsidRPr="00A65462">
              <w:rPr>
                <w:color w:val="000000"/>
                <w:sz w:val="16"/>
              </w:rPr>
              <w:t>24.9</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5D6307D" w14:textId="77777777" w:rsidR="004701F4" w:rsidRPr="00A65462" w:rsidRDefault="004701F4" w:rsidP="005621E7">
            <w:pPr>
              <w:jc w:val="right"/>
              <w:rPr>
                <w:rFonts w:cstheme="minorHAnsi"/>
                <w:color w:val="000000"/>
                <w:sz w:val="16"/>
                <w:szCs w:val="16"/>
              </w:rPr>
            </w:pPr>
            <w:r w:rsidRPr="00A65462">
              <w:rPr>
                <w:color w:val="000000"/>
                <w:sz w:val="16"/>
              </w:rPr>
              <w:t>216,704.5</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50EF5D1" w14:textId="77777777" w:rsidR="004701F4" w:rsidRPr="00A65462" w:rsidRDefault="004701F4" w:rsidP="005621E7">
            <w:pPr>
              <w:jc w:val="right"/>
              <w:rPr>
                <w:rFonts w:cstheme="minorHAnsi"/>
                <w:color w:val="000000"/>
                <w:sz w:val="16"/>
                <w:szCs w:val="16"/>
              </w:rPr>
            </w:pPr>
            <w:r w:rsidRPr="00A65462">
              <w:rPr>
                <w:color w:val="000000"/>
                <w:sz w:val="16"/>
              </w:rPr>
              <w:t>199,773.2</w:t>
            </w:r>
          </w:p>
        </w:tc>
        <w:tc>
          <w:tcPr>
            <w:tcW w:w="639" w:type="dxa"/>
            <w:tcBorders>
              <w:top w:val="nil"/>
              <w:left w:val="nil"/>
              <w:bottom w:val="single" w:sz="4" w:space="0" w:color="FFFFFF" w:themeColor="background1"/>
              <w:right w:val="nil"/>
            </w:tcBorders>
            <w:shd w:val="clear" w:color="auto" w:fill="auto"/>
            <w:noWrap/>
            <w:vAlign w:val="bottom"/>
            <w:hideMark/>
          </w:tcPr>
          <w:p w14:paraId="49F91490" w14:textId="77777777" w:rsidR="004701F4" w:rsidRPr="00A65462" w:rsidRDefault="004701F4" w:rsidP="005621E7">
            <w:pPr>
              <w:jc w:val="right"/>
              <w:rPr>
                <w:rFonts w:cstheme="minorHAnsi"/>
                <w:color w:val="000000"/>
                <w:sz w:val="16"/>
                <w:szCs w:val="16"/>
              </w:rPr>
            </w:pPr>
            <w:r w:rsidRPr="00A65462">
              <w:rPr>
                <w:color w:val="000000"/>
                <w:sz w:val="16"/>
              </w:rPr>
              <w:t>-7.8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396B6A5" w14:textId="77777777" w:rsidR="004701F4" w:rsidRPr="00A65462" w:rsidRDefault="004701F4" w:rsidP="005621E7">
            <w:pPr>
              <w:jc w:val="right"/>
              <w:rPr>
                <w:rFonts w:cstheme="minorHAnsi"/>
                <w:color w:val="000000"/>
                <w:sz w:val="16"/>
                <w:szCs w:val="16"/>
              </w:rPr>
            </w:pPr>
            <w:r w:rsidRPr="00A65462">
              <w:rPr>
                <w:color w:val="000000"/>
                <w:sz w:val="16"/>
              </w:rPr>
              <w:t>99.6</w:t>
            </w:r>
          </w:p>
        </w:tc>
      </w:tr>
      <w:tr w:rsidR="004701F4" w:rsidRPr="00A65462" w14:paraId="2B14717A"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5F470A15" w14:textId="77777777" w:rsidR="004701F4" w:rsidRPr="00A65462" w:rsidRDefault="004701F4" w:rsidP="005621E7">
            <w:pPr>
              <w:rPr>
                <w:rFonts w:cstheme="minorHAnsi"/>
                <w:color w:val="000000"/>
                <w:sz w:val="16"/>
                <w:szCs w:val="16"/>
              </w:rPr>
            </w:pPr>
            <w:r w:rsidRPr="00A65462">
              <w:rPr>
                <w:color w:val="000000"/>
                <w:sz w:val="16"/>
              </w:rPr>
              <w:t>Germany</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35ABA58" w14:textId="77777777" w:rsidR="004701F4" w:rsidRPr="00A65462" w:rsidRDefault="004701F4" w:rsidP="005621E7">
            <w:pPr>
              <w:jc w:val="right"/>
              <w:rPr>
                <w:rFonts w:cstheme="minorHAnsi"/>
                <w:color w:val="000000"/>
                <w:sz w:val="16"/>
                <w:szCs w:val="16"/>
              </w:rPr>
            </w:pPr>
            <w:r w:rsidRPr="00A65462">
              <w:rPr>
                <w:color w:val="000000"/>
                <w:sz w:val="16"/>
              </w:rPr>
              <w:t>13.5</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0AAB9F55" w14:textId="77777777" w:rsidR="004701F4" w:rsidRPr="00A65462" w:rsidRDefault="004701F4" w:rsidP="005621E7">
            <w:pPr>
              <w:jc w:val="right"/>
              <w:rPr>
                <w:rFonts w:cstheme="minorHAnsi"/>
                <w:color w:val="000000"/>
                <w:sz w:val="16"/>
                <w:szCs w:val="16"/>
              </w:rPr>
            </w:pPr>
            <w:r w:rsidRPr="00A65462">
              <w:rPr>
                <w:color w:val="000000"/>
                <w:sz w:val="16"/>
              </w:rPr>
              <w:t>169,514.6</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750C3FCA" w14:textId="77777777" w:rsidR="004701F4" w:rsidRPr="00A65462" w:rsidRDefault="004701F4" w:rsidP="005621E7">
            <w:pPr>
              <w:jc w:val="right"/>
              <w:rPr>
                <w:rFonts w:cstheme="minorHAnsi"/>
                <w:color w:val="000000"/>
                <w:sz w:val="16"/>
                <w:szCs w:val="16"/>
              </w:rPr>
            </w:pPr>
            <w:r w:rsidRPr="00A65462">
              <w:rPr>
                <w:color w:val="000000"/>
                <w:sz w:val="16"/>
              </w:rPr>
              <w:t>164,180.7</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1F82642" w14:textId="77777777" w:rsidR="004701F4" w:rsidRPr="00A65462" w:rsidRDefault="004701F4" w:rsidP="005621E7">
            <w:pPr>
              <w:jc w:val="right"/>
              <w:rPr>
                <w:rFonts w:cstheme="minorHAnsi"/>
                <w:color w:val="000000"/>
                <w:sz w:val="16"/>
                <w:szCs w:val="16"/>
              </w:rPr>
            </w:pPr>
            <w:r w:rsidRPr="00A65462">
              <w:rPr>
                <w:color w:val="000000"/>
                <w:sz w:val="16"/>
              </w:rPr>
              <w:t>-3.1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7E0B82C" w14:textId="77777777" w:rsidR="004701F4" w:rsidRPr="00A65462" w:rsidRDefault="004701F4" w:rsidP="005621E7">
            <w:pPr>
              <w:jc w:val="right"/>
              <w:rPr>
                <w:rFonts w:cstheme="minorHAnsi"/>
                <w:color w:val="000000"/>
                <w:sz w:val="16"/>
                <w:szCs w:val="16"/>
              </w:rPr>
            </w:pPr>
            <w:r w:rsidRPr="00A65462">
              <w:rPr>
                <w:color w:val="000000"/>
                <w:sz w:val="16"/>
              </w:rPr>
              <w:t>16.1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306561C" w14:textId="77777777" w:rsidR="004701F4" w:rsidRPr="00A65462" w:rsidRDefault="004701F4" w:rsidP="005621E7">
            <w:pPr>
              <w:jc w:val="right"/>
              <w:rPr>
                <w:rFonts w:cstheme="minorHAnsi"/>
                <w:color w:val="000000"/>
                <w:sz w:val="16"/>
                <w:szCs w:val="16"/>
              </w:rPr>
            </w:pPr>
            <w:r w:rsidRPr="00A65462">
              <w:rPr>
                <w:color w:val="000000"/>
                <w:sz w:val="16"/>
              </w:rPr>
              <w:t>142,238.2</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522601E" w14:textId="77777777" w:rsidR="004701F4" w:rsidRPr="00A65462" w:rsidRDefault="004701F4" w:rsidP="005621E7">
            <w:pPr>
              <w:jc w:val="right"/>
              <w:rPr>
                <w:rFonts w:cstheme="minorHAnsi"/>
                <w:color w:val="000000"/>
                <w:sz w:val="16"/>
                <w:szCs w:val="16"/>
              </w:rPr>
            </w:pPr>
            <w:r w:rsidRPr="00A65462">
              <w:rPr>
                <w:color w:val="000000"/>
                <w:sz w:val="16"/>
              </w:rPr>
              <w:t>129,016.2</w:t>
            </w:r>
          </w:p>
        </w:tc>
        <w:tc>
          <w:tcPr>
            <w:tcW w:w="639" w:type="dxa"/>
            <w:tcBorders>
              <w:top w:val="nil"/>
              <w:left w:val="nil"/>
              <w:bottom w:val="single" w:sz="4" w:space="0" w:color="FFFFFF" w:themeColor="background1"/>
              <w:right w:val="nil"/>
            </w:tcBorders>
            <w:shd w:val="clear" w:color="auto" w:fill="auto"/>
            <w:noWrap/>
            <w:vAlign w:val="bottom"/>
            <w:hideMark/>
          </w:tcPr>
          <w:p w14:paraId="12CE209D" w14:textId="77777777" w:rsidR="004701F4" w:rsidRPr="00A65462" w:rsidRDefault="004701F4" w:rsidP="005621E7">
            <w:pPr>
              <w:jc w:val="right"/>
              <w:rPr>
                <w:rFonts w:cstheme="minorHAnsi"/>
                <w:color w:val="000000"/>
                <w:sz w:val="16"/>
                <w:szCs w:val="16"/>
              </w:rPr>
            </w:pPr>
            <w:r w:rsidRPr="00A65462">
              <w:rPr>
                <w:color w:val="000000"/>
                <w:sz w:val="16"/>
              </w:rPr>
              <w:t>-9.3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8C5E5FB" w14:textId="77777777" w:rsidR="004701F4" w:rsidRPr="00A65462" w:rsidRDefault="004701F4" w:rsidP="005621E7">
            <w:pPr>
              <w:jc w:val="right"/>
              <w:rPr>
                <w:rFonts w:cstheme="minorHAnsi"/>
                <w:color w:val="000000"/>
                <w:sz w:val="16"/>
                <w:szCs w:val="16"/>
              </w:rPr>
            </w:pPr>
            <w:r w:rsidRPr="00A65462">
              <w:rPr>
                <w:color w:val="000000"/>
                <w:sz w:val="16"/>
              </w:rPr>
              <w:t>78.6</w:t>
            </w:r>
          </w:p>
        </w:tc>
      </w:tr>
      <w:tr w:rsidR="004701F4" w:rsidRPr="00A65462" w14:paraId="1985EF40"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4A521E00" w14:textId="77777777" w:rsidR="004701F4" w:rsidRPr="00A65462" w:rsidRDefault="004701F4" w:rsidP="005621E7">
            <w:pPr>
              <w:rPr>
                <w:rFonts w:cstheme="minorHAnsi"/>
                <w:color w:val="000000"/>
                <w:sz w:val="16"/>
                <w:szCs w:val="16"/>
              </w:rPr>
            </w:pPr>
            <w:r w:rsidRPr="00A65462">
              <w:rPr>
                <w:color w:val="000000"/>
                <w:sz w:val="16"/>
              </w:rPr>
              <w:t>Spain</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B55C72E" w14:textId="77777777" w:rsidR="004701F4" w:rsidRPr="00A65462" w:rsidRDefault="004701F4" w:rsidP="005621E7">
            <w:pPr>
              <w:jc w:val="right"/>
              <w:rPr>
                <w:rFonts w:cstheme="minorHAnsi"/>
                <w:color w:val="000000"/>
                <w:sz w:val="16"/>
                <w:szCs w:val="16"/>
              </w:rPr>
            </w:pPr>
            <w:r w:rsidRPr="00A65462">
              <w:rPr>
                <w:color w:val="000000"/>
                <w:sz w:val="16"/>
              </w:rPr>
              <w:t>0.8</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34C7201B" w14:textId="77777777" w:rsidR="004701F4" w:rsidRPr="00A65462" w:rsidRDefault="004701F4" w:rsidP="005621E7">
            <w:pPr>
              <w:jc w:val="right"/>
              <w:rPr>
                <w:rFonts w:cstheme="minorHAnsi"/>
                <w:color w:val="000000"/>
                <w:sz w:val="16"/>
                <w:szCs w:val="16"/>
              </w:rPr>
            </w:pPr>
            <w:r w:rsidRPr="00A65462">
              <w:rPr>
                <w:color w:val="000000"/>
                <w:sz w:val="16"/>
              </w:rPr>
              <w:t>10,122.6</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562770F7" w14:textId="77777777" w:rsidR="004701F4" w:rsidRPr="00A65462" w:rsidRDefault="004701F4" w:rsidP="005621E7">
            <w:pPr>
              <w:jc w:val="right"/>
              <w:rPr>
                <w:rFonts w:cstheme="minorHAnsi"/>
                <w:color w:val="000000"/>
                <w:sz w:val="16"/>
                <w:szCs w:val="16"/>
              </w:rPr>
            </w:pPr>
            <w:r w:rsidRPr="00A65462">
              <w:rPr>
                <w:color w:val="000000"/>
                <w:sz w:val="16"/>
              </w:rPr>
              <w:t>11,100.6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4225A6AC" w14:textId="77777777" w:rsidR="004701F4" w:rsidRPr="00A65462" w:rsidRDefault="004701F4" w:rsidP="005621E7">
            <w:pPr>
              <w:jc w:val="right"/>
              <w:rPr>
                <w:rFonts w:cstheme="minorHAnsi"/>
                <w:color w:val="000000"/>
                <w:sz w:val="16"/>
                <w:szCs w:val="16"/>
              </w:rPr>
            </w:pPr>
            <w:r w:rsidRPr="00A65462">
              <w:rPr>
                <w:color w:val="000000"/>
                <w:sz w:val="16"/>
              </w:rPr>
              <w:t>9.7</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977E063" w14:textId="77777777" w:rsidR="004701F4" w:rsidRPr="00A65462" w:rsidRDefault="004701F4" w:rsidP="005621E7">
            <w:pPr>
              <w:jc w:val="right"/>
              <w:rPr>
                <w:rFonts w:cstheme="minorHAnsi"/>
                <w:color w:val="000000"/>
                <w:sz w:val="16"/>
                <w:szCs w:val="16"/>
              </w:rPr>
            </w:pPr>
            <w:r w:rsidRPr="00A65462">
              <w:rPr>
                <w:color w:val="000000"/>
                <w:sz w:val="16"/>
              </w:rPr>
              <w:t>2.4</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6E80FE1" w14:textId="77777777" w:rsidR="004701F4" w:rsidRPr="00A65462" w:rsidRDefault="004701F4" w:rsidP="005621E7">
            <w:pPr>
              <w:jc w:val="right"/>
              <w:rPr>
                <w:rFonts w:cstheme="minorHAnsi"/>
                <w:color w:val="000000"/>
                <w:sz w:val="16"/>
                <w:szCs w:val="16"/>
              </w:rPr>
            </w:pPr>
            <w:r w:rsidRPr="00A65462">
              <w:rPr>
                <w:color w:val="000000"/>
                <w:sz w:val="16"/>
              </w:rPr>
              <w:t>14,194.5</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FB60361" w14:textId="77777777" w:rsidR="004701F4" w:rsidRPr="00A65462" w:rsidRDefault="004701F4" w:rsidP="005621E7">
            <w:pPr>
              <w:jc w:val="right"/>
              <w:rPr>
                <w:rFonts w:cstheme="minorHAnsi"/>
                <w:color w:val="000000"/>
                <w:sz w:val="16"/>
                <w:szCs w:val="16"/>
              </w:rPr>
            </w:pPr>
            <w:r w:rsidRPr="00A65462">
              <w:rPr>
                <w:color w:val="000000"/>
                <w:sz w:val="16"/>
              </w:rPr>
              <w:t>20,505.8</w:t>
            </w:r>
          </w:p>
        </w:tc>
        <w:tc>
          <w:tcPr>
            <w:tcW w:w="639" w:type="dxa"/>
            <w:tcBorders>
              <w:top w:val="nil"/>
              <w:left w:val="nil"/>
              <w:bottom w:val="single" w:sz="4" w:space="0" w:color="FFFFFF" w:themeColor="background1"/>
              <w:right w:val="nil"/>
            </w:tcBorders>
            <w:shd w:val="clear" w:color="auto" w:fill="auto"/>
            <w:noWrap/>
            <w:vAlign w:val="bottom"/>
            <w:hideMark/>
          </w:tcPr>
          <w:p w14:paraId="14AC7582" w14:textId="77777777" w:rsidR="004701F4" w:rsidRPr="00A65462" w:rsidRDefault="004701F4" w:rsidP="005621E7">
            <w:pPr>
              <w:jc w:val="right"/>
              <w:rPr>
                <w:rFonts w:cstheme="minorHAnsi"/>
                <w:color w:val="000000"/>
                <w:sz w:val="16"/>
                <w:szCs w:val="16"/>
              </w:rPr>
            </w:pPr>
            <w:r w:rsidRPr="00A65462">
              <w:rPr>
                <w:color w:val="000000"/>
                <w:sz w:val="16"/>
              </w:rPr>
              <w:t>44.5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724CAD4" w14:textId="77777777" w:rsidR="004701F4" w:rsidRPr="00A65462" w:rsidRDefault="004701F4" w:rsidP="005621E7">
            <w:pPr>
              <w:jc w:val="right"/>
              <w:rPr>
                <w:rFonts w:cstheme="minorHAnsi"/>
                <w:color w:val="000000"/>
                <w:sz w:val="16"/>
                <w:szCs w:val="16"/>
              </w:rPr>
            </w:pPr>
            <w:r w:rsidRPr="00A65462">
              <w:rPr>
                <w:color w:val="000000"/>
                <w:sz w:val="16"/>
              </w:rPr>
              <w:t>184.7</w:t>
            </w:r>
          </w:p>
        </w:tc>
      </w:tr>
      <w:tr w:rsidR="004701F4" w:rsidRPr="00A65462" w14:paraId="262DDBBA"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4238219F" w14:textId="77777777" w:rsidR="004701F4" w:rsidRPr="00A65462" w:rsidRDefault="004701F4" w:rsidP="005621E7">
            <w:pPr>
              <w:rPr>
                <w:rFonts w:cstheme="minorHAnsi"/>
                <w:color w:val="000000"/>
                <w:sz w:val="16"/>
                <w:szCs w:val="16"/>
              </w:rPr>
            </w:pPr>
            <w:r w:rsidRPr="00A65462">
              <w:rPr>
                <w:color w:val="000000"/>
                <w:sz w:val="16"/>
              </w:rPr>
              <w:t>Italy</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E6EB384" w14:textId="77777777" w:rsidR="004701F4" w:rsidRPr="00A65462" w:rsidRDefault="004701F4" w:rsidP="005621E7">
            <w:pPr>
              <w:jc w:val="right"/>
              <w:rPr>
                <w:rFonts w:cstheme="minorHAnsi"/>
                <w:color w:val="000000"/>
                <w:sz w:val="16"/>
                <w:szCs w:val="16"/>
              </w:rPr>
            </w:pPr>
            <w:r w:rsidRPr="00A65462">
              <w:rPr>
                <w:color w:val="000000"/>
                <w:sz w:val="16"/>
              </w:rPr>
              <w:t>6.4</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77E9B839" w14:textId="77777777" w:rsidR="004701F4" w:rsidRPr="00A65462" w:rsidRDefault="004701F4" w:rsidP="005621E7">
            <w:pPr>
              <w:jc w:val="right"/>
              <w:rPr>
                <w:rFonts w:cstheme="minorHAnsi"/>
                <w:color w:val="000000"/>
                <w:sz w:val="16"/>
                <w:szCs w:val="16"/>
              </w:rPr>
            </w:pPr>
            <w:r w:rsidRPr="00A65462">
              <w:rPr>
                <w:color w:val="000000"/>
                <w:sz w:val="16"/>
              </w:rPr>
              <w:t>83,746.9</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5C4D6ADA" w14:textId="77777777" w:rsidR="004701F4" w:rsidRPr="00A65462" w:rsidRDefault="004701F4" w:rsidP="005621E7">
            <w:pPr>
              <w:jc w:val="right"/>
              <w:rPr>
                <w:rFonts w:cstheme="minorHAnsi"/>
                <w:color w:val="000000"/>
                <w:sz w:val="16"/>
                <w:szCs w:val="16"/>
              </w:rPr>
            </w:pPr>
            <w:r w:rsidRPr="00A65462">
              <w:rPr>
                <w:color w:val="000000"/>
                <w:sz w:val="16"/>
              </w:rPr>
              <w:t>77,597.3</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10908AF" w14:textId="77777777" w:rsidR="004701F4" w:rsidRPr="00A65462" w:rsidRDefault="004701F4" w:rsidP="005621E7">
            <w:pPr>
              <w:jc w:val="right"/>
              <w:rPr>
                <w:rFonts w:cstheme="minorHAnsi"/>
                <w:color w:val="000000"/>
                <w:sz w:val="16"/>
                <w:szCs w:val="16"/>
              </w:rPr>
            </w:pPr>
            <w:r w:rsidRPr="00A65462">
              <w:rPr>
                <w:color w:val="000000"/>
                <w:sz w:val="16"/>
              </w:rPr>
              <w:t>-7.3</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29EF318" w14:textId="77777777" w:rsidR="004701F4" w:rsidRPr="00A65462" w:rsidRDefault="004701F4" w:rsidP="005621E7">
            <w:pPr>
              <w:jc w:val="right"/>
              <w:rPr>
                <w:rFonts w:cstheme="minorHAnsi"/>
                <w:color w:val="000000"/>
                <w:sz w:val="16"/>
                <w:szCs w:val="16"/>
              </w:rPr>
            </w:pPr>
            <w:r w:rsidRPr="00A65462">
              <w:rPr>
                <w:color w:val="000000"/>
                <w:sz w:val="16"/>
              </w:rPr>
              <w:t>2.9</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6E0D189" w14:textId="77777777" w:rsidR="004701F4" w:rsidRPr="00A65462" w:rsidRDefault="004701F4" w:rsidP="005621E7">
            <w:pPr>
              <w:jc w:val="right"/>
              <w:rPr>
                <w:rFonts w:cstheme="minorHAnsi"/>
                <w:color w:val="000000"/>
                <w:sz w:val="16"/>
                <w:szCs w:val="16"/>
              </w:rPr>
            </w:pPr>
            <w:r w:rsidRPr="00A65462">
              <w:rPr>
                <w:color w:val="000000"/>
                <w:sz w:val="16"/>
              </w:rPr>
              <w:t>19,171.1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9D34B51" w14:textId="77777777" w:rsidR="004701F4" w:rsidRPr="00A65462" w:rsidRDefault="004701F4" w:rsidP="005621E7">
            <w:pPr>
              <w:jc w:val="right"/>
              <w:rPr>
                <w:rFonts w:cstheme="minorHAnsi"/>
                <w:color w:val="000000"/>
                <w:sz w:val="16"/>
                <w:szCs w:val="16"/>
              </w:rPr>
            </w:pPr>
            <w:r w:rsidRPr="00A65462">
              <w:rPr>
                <w:color w:val="000000"/>
                <w:sz w:val="16"/>
              </w:rPr>
              <w:t>23,540.8</w:t>
            </w:r>
          </w:p>
        </w:tc>
        <w:tc>
          <w:tcPr>
            <w:tcW w:w="639" w:type="dxa"/>
            <w:tcBorders>
              <w:top w:val="nil"/>
              <w:left w:val="nil"/>
              <w:bottom w:val="single" w:sz="4" w:space="0" w:color="FFFFFF" w:themeColor="background1"/>
              <w:right w:val="nil"/>
            </w:tcBorders>
            <w:shd w:val="clear" w:color="auto" w:fill="auto"/>
            <w:noWrap/>
            <w:vAlign w:val="bottom"/>
            <w:hideMark/>
          </w:tcPr>
          <w:p w14:paraId="09FD0E0A" w14:textId="77777777" w:rsidR="004701F4" w:rsidRPr="00A65462" w:rsidRDefault="004701F4" w:rsidP="005621E7">
            <w:pPr>
              <w:jc w:val="right"/>
              <w:rPr>
                <w:rFonts w:cstheme="minorHAnsi"/>
                <w:color w:val="000000"/>
                <w:sz w:val="16"/>
                <w:szCs w:val="16"/>
              </w:rPr>
            </w:pPr>
            <w:r w:rsidRPr="00A65462">
              <w:rPr>
                <w:color w:val="000000"/>
                <w:sz w:val="16"/>
              </w:rPr>
              <w:t>22.8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C103E2B" w14:textId="77777777" w:rsidR="004701F4" w:rsidRPr="00A65462" w:rsidRDefault="004701F4" w:rsidP="005621E7">
            <w:pPr>
              <w:jc w:val="right"/>
              <w:rPr>
                <w:rFonts w:cstheme="minorHAnsi"/>
                <w:color w:val="000000"/>
                <w:sz w:val="16"/>
                <w:szCs w:val="16"/>
              </w:rPr>
            </w:pPr>
            <w:r w:rsidRPr="00A65462">
              <w:rPr>
                <w:color w:val="000000"/>
                <w:sz w:val="16"/>
              </w:rPr>
              <w:t>30.3</w:t>
            </w:r>
          </w:p>
        </w:tc>
      </w:tr>
      <w:tr w:rsidR="004701F4" w:rsidRPr="00A65462" w14:paraId="51FBC28A"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48533BD2" w14:textId="77777777" w:rsidR="004701F4" w:rsidRPr="00A65462" w:rsidRDefault="004701F4" w:rsidP="005621E7">
            <w:pPr>
              <w:rPr>
                <w:rFonts w:cstheme="minorHAnsi"/>
                <w:color w:val="000000"/>
                <w:sz w:val="16"/>
                <w:szCs w:val="16"/>
              </w:rPr>
            </w:pPr>
            <w:r w:rsidRPr="00A65462">
              <w:rPr>
                <w:color w:val="000000"/>
                <w:sz w:val="16"/>
              </w:rPr>
              <w:t>Luxembourg</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C2ACB8B"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50CF6EAF" w14:textId="77777777" w:rsidR="004701F4" w:rsidRPr="00A65462" w:rsidRDefault="004701F4" w:rsidP="005621E7">
            <w:pPr>
              <w:jc w:val="right"/>
              <w:rPr>
                <w:rFonts w:cstheme="minorHAnsi"/>
                <w:color w:val="000000"/>
                <w:sz w:val="16"/>
                <w:szCs w:val="16"/>
              </w:rPr>
            </w:pPr>
            <w:r w:rsidRPr="00A65462">
              <w:rPr>
                <w:color w:val="000000"/>
                <w:sz w:val="16"/>
              </w:rPr>
              <w:t>1,132.5</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40D60B96" w14:textId="77777777" w:rsidR="004701F4" w:rsidRPr="00A65462" w:rsidRDefault="004701F4" w:rsidP="005621E7">
            <w:pPr>
              <w:jc w:val="right"/>
              <w:rPr>
                <w:rFonts w:cstheme="minorHAnsi"/>
                <w:color w:val="000000"/>
                <w:sz w:val="16"/>
                <w:szCs w:val="16"/>
              </w:rPr>
            </w:pPr>
            <w:r w:rsidRPr="00A65462">
              <w:rPr>
                <w:color w:val="000000"/>
                <w:sz w:val="16"/>
              </w:rPr>
              <w:t>830.1</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E87556D" w14:textId="77777777" w:rsidR="004701F4" w:rsidRPr="00A65462" w:rsidRDefault="004701F4" w:rsidP="005621E7">
            <w:pPr>
              <w:jc w:val="right"/>
              <w:rPr>
                <w:rFonts w:cstheme="minorHAnsi"/>
                <w:color w:val="000000"/>
                <w:sz w:val="16"/>
                <w:szCs w:val="16"/>
              </w:rPr>
            </w:pPr>
            <w:r w:rsidRPr="00A65462">
              <w:rPr>
                <w:color w:val="000000"/>
                <w:sz w:val="16"/>
              </w:rPr>
              <w:t>-26.7</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8E531EE" w14:textId="77777777" w:rsidR="004701F4" w:rsidRPr="00A65462" w:rsidRDefault="004701F4" w:rsidP="005621E7">
            <w:pPr>
              <w:jc w:val="right"/>
              <w:rPr>
                <w:rFonts w:cstheme="minorHAnsi"/>
                <w:color w:val="000000"/>
                <w:sz w:val="16"/>
                <w:szCs w:val="16"/>
              </w:rPr>
            </w:pPr>
            <w:r w:rsidRPr="00A65462">
              <w:rPr>
                <w:color w:val="000000"/>
                <w:sz w:val="16"/>
              </w:rPr>
              <w:t>1.6</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BB950B3" w14:textId="77777777" w:rsidR="004701F4" w:rsidRPr="00A65462" w:rsidRDefault="004701F4" w:rsidP="005621E7">
            <w:pPr>
              <w:jc w:val="right"/>
              <w:rPr>
                <w:rFonts w:cstheme="minorHAnsi"/>
                <w:color w:val="000000"/>
                <w:sz w:val="16"/>
                <w:szCs w:val="16"/>
              </w:rPr>
            </w:pPr>
            <w:r w:rsidRPr="00A65462">
              <w:rPr>
                <w:color w:val="000000"/>
                <w:sz w:val="16"/>
              </w:rPr>
              <w:t>14,759.9</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F59C9AE" w14:textId="77777777" w:rsidR="004701F4" w:rsidRPr="00A65462" w:rsidRDefault="004701F4" w:rsidP="005621E7">
            <w:pPr>
              <w:jc w:val="right"/>
              <w:rPr>
                <w:rFonts w:cstheme="minorHAnsi"/>
                <w:color w:val="000000"/>
                <w:sz w:val="16"/>
                <w:szCs w:val="16"/>
              </w:rPr>
            </w:pPr>
            <w:r w:rsidRPr="00A65462">
              <w:rPr>
                <w:color w:val="000000"/>
                <w:sz w:val="16"/>
              </w:rPr>
              <w:t>12,941.7</w:t>
            </w:r>
          </w:p>
        </w:tc>
        <w:tc>
          <w:tcPr>
            <w:tcW w:w="639" w:type="dxa"/>
            <w:tcBorders>
              <w:top w:val="nil"/>
              <w:left w:val="nil"/>
              <w:bottom w:val="single" w:sz="4" w:space="0" w:color="FFFFFF" w:themeColor="background1"/>
              <w:right w:val="nil"/>
            </w:tcBorders>
            <w:shd w:val="clear" w:color="auto" w:fill="auto"/>
            <w:noWrap/>
            <w:vAlign w:val="bottom"/>
            <w:hideMark/>
          </w:tcPr>
          <w:p w14:paraId="729AEC5A" w14:textId="77777777" w:rsidR="004701F4" w:rsidRPr="00A65462" w:rsidRDefault="004701F4" w:rsidP="005621E7">
            <w:pPr>
              <w:jc w:val="right"/>
              <w:rPr>
                <w:rFonts w:cstheme="minorHAnsi"/>
                <w:color w:val="000000"/>
                <w:sz w:val="16"/>
                <w:szCs w:val="16"/>
              </w:rPr>
            </w:pPr>
            <w:r w:rsidRPr="00A65462">
              <w:rPr>
                <w:color w:val="000000"/>
                <w:sz w:val="16"/>
              </w:rPr>
              <w:t>-12.3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C6A3839" w14:textId="77777777" w:rsidR="004701F4" w:rsidRPr="00A65462" w:rsidRDefault="004701F4" w:rsidP="005621E7">
            <w:pPr>
              <w:jc w:val="right"/>
              <w:rPr>
                <w:rFonts w:cstheme="minorHAnsi"/>
                <w:color w:val="000000"/>
                <w:sz w:val="16"/>
                <w:szCs w:val="16"/>
              </w:rPr>
            </w:pPr>
            <w:r w:rsidRPr="00A65462">
              <w:rPr>
                <w:color w:val="000000"/>
                <w:sz w:val="16"/>
              </w:rPr>
              <w:t>1,559.0</w:t>
            </w:r>
          </w:p>
        </w:tc>
      </w:tr>
      <w:tr w:rsidR="004701F4" w:rsidRPr="00A65462" w14:paraId="39490F6A"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42630E2F" w14:textId="77777777" w:rsidR="004701F4" w:rsidRPr="00A65462" w:rsidRDefault="004701F4" w:rsidP="005621E7">
            <w:pPr>
              <w:rPr>
                <w:rFonts w:cstheme="minorHAnsi"/>
                <w:color w:val="000000"/>
                <w:sz w:val="16"/>
                <w:szCs w:val="16"/>
              </w:rPr>
            </w:pPr>
            <w:r w:rsidRPr="00A65462">
              <w:rPr>
                <w:color w:val="000000"/>
                <w:sz w:val="16"/>
              </w:rPr>
              <w:t>Poland</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D240A0C" w14:textId="77777777" w:rsidR="004701F4" w:rsidRPr="00A65462" w:rsidRDefault="004701F4" w:rsidP="005621E7">
            <w:pPr>
              <w:jc w:val="right"/>
              <w:rPr>
                <w:rFonts w:cstheme="minorHAnsi"/>
                <w:color w:val="000000"/>
                <w:sz w:val="16"/>
                <w:szCs w:val="16"/>
              </w:rPr>
            </w:pPr>
            <w:r w:rsidRPr="00A65462">
              <w:rPr>
                <w:color w:val="000000"/>
                <w:sz w:val="16"/>
              </w:rPr>
              <w:t>8.5</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1AA25A8F" w14:textId="77777777" w:rsidR="004701F4" w:rsidRPr="00A65462" w:rsidRDefault="004701F4" w:rsidP="005621E7">
            <w:pPr>
              <w:jc w:val="right"/>
              <w:rPr>
                <w:rFonts w:cstheme="minorHAnsi"/>
                <w:color w:val="000000"/>
                <w:sz w:val="16"/>
                <w:szCs w:val="16"/>
              </w:rPr>
            </w:pPr>
            <w:r w:rsidRPr="00A65462">
              <w:rPr>
                <w:color w:val="000000"/>
                <w:sz w:val="16"/>
              </w:rPr>
              <w:t>107,829.5</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6178DE83" w14:textId="77777777" w:rsidR="004701F4" w:rsidRPr="00A65462" w:rsidRDefault="004701F4" w:rsidP="005621E7">
            <w:pPr>
              <w:jc w:val="right"/>
              <w:rPr>
                <w:rFonts w:cstheme="minorHAnsi"/>
                <w:color w:val="000000"/>
                <w:sz w:val="16"/>
                <w:szCs w:val="16"/>
              </w:rPr>
            </w:pPr>
            <w:r w:rsidRPr="00A65462">
              <w:rPr>
                <w:color w:val="000000"/>
                <w:sz w:val="16"/>
              </w:rPr>
              <w:t>103,704.8</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4FD3B20" w14:textId="77777777" w:rsidR="004701F4" w:rsidRPr="00A65462" w:rsidRDefault="004701F4" w:rsidP="005621E7">
            <w:pPr>
              <w:jc w:val="right"/>
              <w:rPr>
                <w:rFonts w:cstheme="minorHAnsi"/>
                <w:color w:val="000000"/>
                <w:sz w:val="16"/>
                <w:szCs w:val="16"/>
              </w:rPr>
            </w:pPr>
            <w:r w:rsidRPr="00A65462">
              <w:rPr>
                <w:color w:val="000000"/>
                <w:sz w:val="16"/>
              </w:rPr>
              <w:t>-3.8</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1D23E46" w14:textId="77777777" w:rsidR="004701F4" w:rsidRPr="00A65462" w:rsidRDefault="004701F4" w:rsidP="005621E7">
            <w:pPr>
              <w:jc w:val="right"/>
              <w:rPr>
                <w:rFonts w:cstheme="minorHAnsi"/>
                <w:color w:val="000000"/>
                <w:sz w:val="16"/>
                <w:szCs w:val="16"/>
              </w:rPr>
            </w:pPr>
            <w:r w:rsidRPr="00A65462">
              <w:rPr>
                <w:color w:val="000000"/>
                <w:sz w:val="16"/>
              </w:rPr>
              <w:t>1.1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9ABE2D0" w14:textId="77777777" w:rsidR="004701F4" w:rsidRPr="00A65462" w:rsidRDefault="004701F4" w:rsidP="005621E7">
            <w:pPr>
              <w:jc w:val="right"/>
              <w:rPr>
                <w:rFonts w:cstheme="minorHAnsi"/>
                <w:color w:val="000000"/>
                <w:sz w:val="16"/>
                <w:szCs w:val="16"/>
              </w:rPr>
            </w:pPr>
            <w:r w:rsidRPr="00A65462">
              <w:rPr>
                <w:color w:val="000000"/>
                <w:sz w:val="16"/>
              </w:rPr>
              <w:t>8,951.5</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229282C" w14:textId="77777777" w:rsidR="004701F4" w:rsidRPr="00A65462" w:rsidRDefault="004701F4" w:rsidP="005621E7">
            <w:pPr>
              <w:jc w:val="right"/>
              <w:rPr>
                <w:rFonts w:cstheme="minorHAnsi"/>
                <w:color w:val="000000"/>
                <w:sz w:val="16"/>
                <w:szCs w:val="16"/>
              </w:rPr>
            </w:pPr>
            <w:r w:rsidRPr="00A65462">
              <w:rPr>
                <w:color w:val="000000"/>
                <w:sz w:val="16"/>
              </w:rPr>
              <w:t>8,878.5</w:t>
            </w:r>
          </w:p>
        </w:tc>
        <w:tc>
          <w:tcPr>
            <w:tcW w:w="639" w:type="dxa"/>
            <w:tcBorders>
              <w:top w:val="nil"/>
              <w:left w:val="nil"/>
              <w:bottom w:val="single" w:sz="4" w:space="0" w:color="FFFFFF" w:themeColor="background1"/>
              <w:right w:val="nil"/>
            </w:tcBorders>
            <w:shd w:val="clear" w:color="auto" w:fill="auto"/>
            <w:noWrap/>
            <w:vAlign w:val="bottom"/>
            <w:hideMark/>
          </w:tcPr>
          <w:p w14:paraId="7FF6D4F5" w14:textId="77777777" w:rsidR="004701F4" w:rsidRPr="00A65462" w:rsidRDefault="004701F4" w:rsidP="005621E7">
            <w:pPr>
              <w:jc w:val="right"/>
              <w:rPr>
                <w:rFonts w:cstheme="minorHAnsi"/>
                <w:color w:val="000000"/>
                <w:sz w:val="16"/>
                <w:szCs w:val="16"/>
              </w:rPr>
            </w:pPr>
            <w:r w:rsidRPr="00A65462">
              <w:rPr>
                <w:color w:val="000000"/>
                <w:sz w:val="16"/>
              </w:rPr>
              <w:t>-0.8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B54A4F5" w14:textId="77777777" w:rsidR="004701F4" w:rsidRPr="00A65462" w:rsidRDefault="004701F4" w:rsidP="005621E7">
            <w:pPr>
              <w:jc w:val="right"/>
              <w:rPr>
                <w:rFonts w:cstheme="minorHAnsi"/>
                <w:color w:val="000000"/>
                <w:sz w:val="16"/>
                <w:szCs w:val="16"/>
              </w:rPr>
            </w:pPr>
            <w:r w:rsidRPr="00A65462">
              <w:rPr>
                <w:color w:val="000000"/>
                <w:sz w:val="16"/>
              </w:rPr>
              <w:t>8.6</w:t>
            </w:r>
          </w:p>
        </w:tc>
      </w:tr>
      <w:tr w:rsidR="004701F4" w:rsidRPr="00A65462" w14:paraId="17C1B5FB"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42E12921" w14:textId="77777777" w:rsidR="004701F4" w:rsidRPr="00A65462" w:rsidRDefault="004701F4" w:rsidP="005621E7">
            <w:pPr>
              <w:rPr>
                <w:rFonts w:cstheme="minorHAnsi"/>
                <w:color w:val="000000"/>
                <w:sz w:val="16"/>
                <w:szCs w:val="16"/>
              </w:rPr>
            </w:pPr>
            <w:r w:rsidRPr="00A65462">
              <w:rPr>
                <w:color w:val="000000"/>
                <w:sz w:val="16"/>
              </w:rPr>
              <w:t>Ireland</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2F3A5BD"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682A19D3" w14:textId="77777777" w:rsidR="004701F4" w:rsidRPr="00A65462" w:rsidRDefault="004701F4" w:rsidP="005621E7">
            <w:pPr>
              <w:jc w:val="right"/>
              <w:rPr>
                <w:rFonts w:cstheme="minorHAnsi"/>
                <w:color w:val="000000"/>
                <w:sz w:val="16"/>
                <w:szCs w:val="16"/>
              </w:rPr>
            </w:pPr>
            <w:r w:rsidRPr="00A65462">
              <w:rPr>
                <w:color w:val="000000"/>
                <w:sz w:val="16"/>
              </w:rPr>
              <w:t>490.5</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322DAF83" w14:textId="77777777" w:rsidR="004701F4" w:rsidRPr="00A65462" w:rsidRDefault="004701F4" w:rsidP="005621E7">
            <w:pPr>
              <w:jc w:val="right"/>
              <w:rPr>
                <w:rFonts w:cstheme="minorHAnsi"/>
                <w:color w:val="000000"/>
                <w:sz w:val="16"/>
                <w:szCs w:val="16"/>
              </w:rPr>
            </w:pPr>
            <w:r w:rsidRPr="00A65462">
              <w:rPr>
                <w:color w:val="000000"/>
                <w:sz w:val="16"/>
              </w:rPr>
              <w:t>1,534.6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1DB2F1BC" w14:textId="77777777" w:rsidR="004701F4" w:rsidRPr="00A65462" w:rsidRDefault="004701F4" w:rsidP="005621E7">
            <w:pPr>
              <w:jc w:val="right"/>
              <w:rPr>
                <w:rFonts w:cstheme="minorHAnsi"/>
                <w:color w:val="000000"/>
                <w:sz w:val="16"/>
                <w:szCs w:val="16"/>
              </w:rPr>
            </w:pPr>
            <w:r w:rsidRPr="00A65462">
              <w:rPr>
                <w:color w:val="000000"/>
                <w:sz w:val="16"/>
              </w:rPr>
              <w:t>212.8</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4F07529" w14:textId="77777777" w:rsidR="004701F4" w:rsidRPr="00A65462" w:rsidRDefault="004701F4" w:rsidP="005621E7">
            <w:pPr>
              <w:jc w:val="right"/>
              <w:rPr>
                <w:rFonts w:cstheme="minorHAnsi"/>
                <w:color w:val="000000"/>
                <w:sz w:val="16"/>
                <w:szCs w:val="16"/>
              </w:rPr>
            </w:pPr>
            <w:r w:rsidRPr="00A65462">
              <w:rPr>
                <w:color w:val="000000"/>
                <w:sz w:val="16"/>
              </w:rPr>
              <w:t>1.3</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7CBAB1E" w14:textId="77777777" w:rsidR="004701F4" w:rsidRPr="00A65462" w:rsidRDefault="004701F4" w:rsidP="005621E7">
            <w:pPr>
              <w:jc w:val="right"/>
              <w:rPr>
                <w:rFonts w:cstheme="minorHAnsi"/>
                <w:color w:val="000000"/>
                <w:sz w:val="16"/>
                <w:szCs w:val="16"/>
              </w:rPr>
            </w:pPr>
            <w:r w:rsidRPr="00A65462">
              <w:rPr>
                <w:color w:val="000000"/>
                <w:sz w:val="16"/>
              </w:rPr>
              <w:t>8,515.9</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B70763D" w14:textId="77777777" w:rsidR="004701F4" w:rsidRPr="00A65462" w:rsidRDefault="004701F4" w:rsidP="005621E7">
            <w:pPr>
              <w:jc w:val="right"/>
              <w:rPr>
                <w:rFonts w:cstheme="minorHAnsi"/>
                <w:color w:val="000000"/>
                <w:sz w:val="16"/>
                <w:szCs w:val="16"/>
              </w:rPr>
            </w:pPr>
            <w:r w:rsidRPr="00A65462">
              <w:rPr>
                <w:color w:val="000000"/>
                <w:sz w:val="16"/>
              </w:rPr>
              <w:t>10,103.9</w:t>
            </w:r>
          </w:p>
        </w:tc>
        <w:tc>
          <w:tcPr>
            <w:tcW w:w="639" w:type="dxa"/>
            <w:tcBorders>
              <w:top w:val="nil"/>
              <w:left w:val="nil"/>
              <w:bottom w:val="single" w:sz="4" w:space="0" w:color="FFFFFF" w:themeColor="background1"/>
              <w:right w:val="nil"/>
            </w:tcBorders>
            <w:shd w:val="clear" w:color="auto" w:fill="auto"/>
            <w:noWrap/>
            <w:vAlign w:val="bottom"/>
            <w:hideMark/>
          </w:tcPr>
          <w:p w14:paraId="5474E1EB" w14:textId="77777777" w:rsidR="004701F4" w:rsidRPr="00A65462" w:rsidRDefault="004701F4" w:rsidP="005621E7">
            <w:pPr>
              <w:jc w:val="right"/>
              <w:rPr>
                <w:rFonts w:cstheme="minorHAnsi"/>
                <w:color w:val="000000"/>
                <w:sz w:val="16"/>
                <w:szCs w:val="16"/>
              </w:rPr>
            </w:pPr>
            <w:r w:rsidRPr="00A65462">
              <w:rPr>
                <w:color w:val="000000"/>
                <w:sz w:val="16"/>
              </w:rPr>
              <w:t>18.6</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30BD39B" w14:textId="77777777" w:rsidR="004701F4" w:rsidRPr="00A65462" w:rsidRDefault="004701F4" w:rsidP="005621E7">
            <w:pPr>
              <w:jc w:val="right"/>
              <w:rPr>
                <w:rFonts w:cstheme="minorHAnsi"/>
                <w:color w:val="000000"/>
                <w:sz w:val="16"/>
                <w:szCs w:val="16"/>
              </w:rPr>
            </w:pPr>
            <w:r w:rsidRPr="00A65462">
              <w:rPr>
                <w:color w:val="000000"/>
                <w:sz w:val="16"/>
              </w:rPr>
              <w:t>658.4</w:t>
            </w:r>
          </w:p>
        </w:tc>
      </w:tr>
      <w:tr w:rsidR="004701F4" w:rsidRPr="00A65462" w14:paraId="706306D2"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7D6F1B66" w14:textId="77777777" w:rsidR="004701F4" w:rsidRPr="00A65462" w:rsidRDefault="004701F4" w:rsidP="005621E7">
            <w:pPr>
              <w:rPr>
                <w:rFonts w:cstheme="minorHAnsi"/>
                <w:color w:val="000000"/>
                <w:sz w:val="16"/>
                <w:szCs w:val="16"/>
              </w:rPr>
            </w:pPr>
            <w:r w:rsidRPr="00A65462">
              <w:rPr>
                <w:color w:val="000000"/>
                <w:sz w:val="16"/>
              </w:rPr>
              <w:t>Austria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A7B0141" w14:textId="77777777" w:rsidR="004701F4" w:rsidRPr="00A65462" w:rsidRDefault="004701F4" w:rsidP="005621E7">
            <w:pPr>
              <w:jc w:val="right"/>
              <w:rPr>
                <w:rFonts w:cstheme="minorHAnsi"/>
                <w:color w:val="000000"/>
                <w:sz w:val="16"/>
                <w:szCs w:val="16"/>
              </w:rPr>
            </w:pPr>
            <w:r w:rsidRPr="00A65462">
              <w:rPr>
                <w:color w:val="000000"/>
                <w:sz w:val="16"/>
              </w:rPr>
              <w:t>0.3</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4BEBF55A" w14:textId="77777777" w:rsidR="004701F4" w:rsidRPr="00A65462" w:rsidRDefault="004701F4" w:rsidP="005621E7">
            <w:pPr>
              <w:jc w:val="right"/>
              <w:rPr>
                <w:rFonts w:cstheme="minorHAnsi"/>
                <w:color w:val="000000"/>
                <w:sz w:val="16"/>
                <w:szCs w:val="16"/>
              </w:rPr>
            </w:pPr>
            <w:r w:rsidRPr="00A65462">
              <w:rPr>
                <w:color w:val="000000"/>
                <w:sz w:val="16"/>
              </w:rPr>
              <w:t>2,912.6</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36305643" w14:textId="77777777" w:rsidR="004701F4" w:rsidRPr="00A65462" w:rsidRDefault="004701F4" w:rsidP="005621E7">
            <w:pPr>
              <w:jc w:val="right"/>
              <w:rPr>
                <w:rFonts w:cstheme="minorHAnsi"/>
                <w:color w:val="000000"/>
                <w:sz w:val="16"/>
                <w:szCs w:val="16"/>
              </w:rPr>
            </w:pPr>
            <w:r w:rsidRPr="00A65462">
              <w:rPr>
                <w:color w:val="000000"/>
                <w:sz w:val="16"/>
              </w:rPr>
              <w:t>3,345.5</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76A16A3" w14:textId="77777777" w:rsidR="004701F4" w:rsidRPr="00A65462" w:rsidRDefault="004701F4" w:rsidP="005621E7">
            <w:pPr>
              <w:jc w:val="right"/>
              <w:rPr>
                <w:rFonts w:cstheme="minorHAnsi"/>
                <w:color w:val="000000"/>
                <w:sz w:val="16"/>
                <w:szCs w:val="16"/>
              </w:rPr>
            </w:pPr>
            <w:r w:rsidRPr="00A65462">
              <w:rPr>
                <w:color w:val="000000"/>
                <w:sz w:val="16"/>
              </w:rPr>
              <w:t>14.9</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BF3644D" w14:textId="77777777" w:rsidR="004701F4" w:rsidRPr="00A65462" w:rsidRDefault="004701F4" w:rsidP="005621E7">
            <w:pPr>
              <w:jc w:val="right"/>
              <w:rPr>
                <w:rFonts w:cstheme="minorHAnsi"/>
                <w:color w:val="000000"/>
                <w:sz w:val="16"/>
                <w:szCs w:val="16"/>
              </w:rPr>
            </w:pPr>
            <w:r w:rsidRPr="00A65462">
              <w:rPr>
                <w:color w:val="000000"/>
                <w:sz w:val="16"/>
              </w:rPr>
              <w:t>0.8</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35BA5D5" w14:textId="77777777" w:rsidR="004701F4" w:rsidRPr="00A65462" w:rsidRDefault="004701F4" w:rsidP="005621E7">
            <w:pPr>
              <w:jc w:val="right"/>
              <w:rPr>
                <w:rFonts w:cstheme="minorHAnsi"/>
                <w:color w:val="000000"/>
                <w:sz w:val="16"/>
                <w:szCs w:val="16"/>
              </w:rPr>
            </w:pPr>
            <w:r w:rsidRPr="00A65462">
              <w:rPr>
                <w:color w:val="000000"/>
                <w:sz w:val="16"/>
              </w:rPr>
              <w:t>6,787.9</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DF59745" w14:textId="77777777" w:rsidR="004701F4" w:rsidRPr="00A65462" w:rsidRDefault="004701F4" w:rsidP="005621E7">
            <w:pPr>
              <w:jc w:val="right"/>
              <w:rPr>
                <w:rFonts w:cstheme="minorHAnsi"/>
                <w:color w:val="000000"/>
                <w:sz w:val="16"/>
                <w:szCs w:val="16"/>
              </w:rPr>
            </w:pPr>
            <w:r w:rsidRPr="00A65462">
              <w:rPr>
                <w:color w:val="000000"/>
                <w:sz w:val="16"/>
              </w:rPr>
              <w:t>6,743.7</w:t>
            </w:r>
          </w:p>
        </w:tc>
        <w:tc>
          <w:tcPr>
            <w:tcW w:w="639" w:type="dxa"/>
            <w:tcBorders>
              <w:top w:val="nil"/>
              <w:left w:val="nil"/>
              <w:bottom w:val="single" w:sz="4" w:space="0" w:color="FFFFFF" w:themeColor="background1"/>
              <w:right w:val="nil"/>
            </w:tcBorders>
            <w:shd w:val="clear" w:color="auto" w:fill="auto"/>
            <w:noWrap/>
            <w:vAlign w:val="bottom"/>
            <w:hideMark/>
          </w:tcPr>
          <w:p w14:paraId="01B9296E" w14:textId="77777777" w:rsidR="004701F4" w:rsidRPr="00A65462" w:rsidRDefault="004701F4" w:rsidP="005621E7">
            <w:pPr>
              <w:jc w:val="right"/>
              <w:rPr>
                <w:rFonts w:cstheme="minorHAnsi"/>
                <w:color w:val="000000"/>
                <w:sz w:val="16"/>
                <w:szCs w:val="16"/>
              </w:rPr>
            </w:pPr>
            <w:r w:rsidRPr="00A65462">
              <w:rPr>
                <w:color w:val="000000"/>
                <w:sz w:val="16"/>
              </w:rPr>
              <w:t>-0.7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7772213" w14:textId="77777777" w:rsidR="004701F4" w:rsidRPr="00A65462" w:rsidRDefault="004701F4" w:rsidP="005621E7">
            <w:pPr>
              <w:jc w:val="right"/>
              <w:rPr>
                <w:rFonts w:cstheme="minorHAnsi"/>
                <w:color w:val="000000"/>
                <w:sz w:val="16"/>
                <w:szCs w:val="16"/>
              </w:rPr>
            </w:pPr>
            <w:r w:rsidRPr="00A65462">
              <w:rPr>
                <w:color w:val="000000"/>
                <w:sz w:val="16"/>
              </w:rPr>
              <w:t>201.6</w:t>
            </w:r>
          </w:p>
        </w:tc>
      </w:tr>
      <w:tr w:rsidR="004701F4" w:rsidRPr="00A65462" w14:paraId="073FCC7A"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2209A7EB" w14:textId="77777777" w:rsidR="004701F4" w:rsidRPr="00A65462" w:rsidRDefault="004701F4" w:rsidP="005621E7">
            <w:pPr>
              <w:rPr>
                <w:rFonts w:cstheme="minorHAnsi"/>
                <w:color w:val="000000"/>
                <w:sz w:val="16"/>
                <w:szCs w:val="16"/>
              </w:rPr>
            </w:pPr>
            <w:r w:rsidRPr="00A65462">
              <w:rPr>
                <w:color w:val="000000"/>
                <w:sz w:val="16"/>
              </w:rPr>
              <w:t>Portugal</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77B9F23" w14:textId="77777777" w:rsidR="004701F4" w:rsidRPr="00A65462" w:rsidRDefault="004701F4" w:rsidP="005621E7">
            <w:pPr>
              <w:jc w:val="right"/>
              <w:rPr>
                <w:rFonts w:cstheme="minorHAnsi"/>
                <w:color w:val="000000"/>
                <w:sz w:val="16"/>
                <w:szCs w:val="16"/>
              </w:rPr>
            </w:pPr>
            <w:r w:rsidRPr="00A65462">
              <w:rPr>
                <w:color w:val="000000"/>
                <w:sz w:val="16"/>
              </w:rPr>
              <w:t>0.4</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0C94E779" w14:textId="77777777" w:rsidR="004701F4" w:rsidRPr="00A65462" w:rsidRDefault="004701F4" w:rsidP="005621E7">
            <w:pPr>
              <w:jc w:val="right"/>
              <w:rPr>
                <w:rFonts w:cstheme="minorHAnsi"/>
                <w:color w:val="000000"/>
                <w:sz w:val="16"/>
                <w:szCs w:val="16"/>
              </w:rPr>
            </w:pPr>
            <w:r w:rsidRPr="00A65462">
              <w:rPr>
                <w:color w:val="000000"/>
                <w:sz w:val="16"/>
              </w:rPr>
              <w:t>4,303.5</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4780B3B2" w14:textId="77777777" w:rsidR="004701F4" w:rsidRPr="00A65462" w:rsidRDefault="004701F4" w:rsidP="005621E7">
            <w:pPr>
              <w:jc w:val="right"/>
              <w:rPr>
                <w:rFonts w:cstheme="minorHAnsi"/>
                <w:color w:val="000000"/>
                <w:sz w:val="16"/>
                <w:szCs w:val="16"/>
              </w:rPr>
            </w:pPr>
            <w:r w:rsidRPr="00A65462">
              <w:rPr>
                <w:color w:val="000000"/>
                <w:sz w:val="16"/>
              </w:rPr>
              <w:t>4,485.9</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F7A89FC" w14:textId="77777777" w:rsidR="004701F4" w:rsidRPr="00A65462" w:rsidRDefault="004701F4" w:rsidP="005621E7">
            <w:pPr>
              <w:jc w:val="right"/>
              <w:rPr>
                <w:rFonts w:cstheme="minorHAnsi"/>
                <w:color w:val="000000"/>
                <w:sz w:val="16"/>
                <w:szCs w:val="16"/>
              </w:rPr>
            </w:pPr>
            <w:r w:rsidRPr="00A65462">
              <w:rPr>
                <w:color w:val="000000"/>
                <w:sz w:val="16"/>
              </w:rPr>
              <w:t>4.2</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B0C459E" w14:textId="77777777" w:rsidR="004701F4" w:rsidRPr="00A65462" w:rsidRDefault="004701F4" w:rsidP="005621E7">
            <w:pPr>
              <w:jc w:val="right"/>
              <w:rPr>
                <w:rFonts w:cstheme="minorHAnsi"/>
                <w:color w:val="000000"/>
                <w:sz w:val="16"/>
                <w:szCs w:val="16"/>
              </w:rPr>
            </w:pPr>
            <w:r w:rsidRPr="00A65462">
              <w:rPr>
                <w:color w:val="000000"/>
                <w:sz w:val="16"/>
              </w:rPr>
              <w:t>0.7</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0D7734C" w14:textId="77777777" w:rsidR="004701F4" w:rsidRPr="00A65462" w:rsidRDefault="004701F4" w:rsidP="005621E7">
            <w:pPr>
              <w:jc w:val="right"/>
              <w:rPr>
                <w:rFonts w:cstheme="minorHAnsi"/>
                <w:color w:val="000000"/>
                <w:sz w:val="16"/>
                <w:szCs w:val="16"/>
              </w:rPr>
            </w:pPr>
            <w:r w:rsidRPr="00A65462">
              <w:rPr>
                <w:color w:val="000000"/>
                <w:sz w:val="16"/>
              </w:rPr>
              <w:t>4,795.7</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46F0D98" w14:textId="77777777" w:rsidR="004701F4" w:rsidRPr="00A65462" w:rsidRDefault="004701F4" w:rsidP="005621E7">
            <w:pPr>
              <w:jc w:val="right"/>
              <w:rPr>
                <w:rFonts w:cstheme="minorHAnsi"/>
                <w:color w:val="000000"/>
                <w:sz w:val="16"/>
                <w:szCs w:val="16"/>
              </w:rPr>
            </w:pPr>
            <w:r w:rsidRPr="00A65462">
              <w:rPr>
                <w:color w:val="000000"/>
                <w:sz w:val="16"/>
              </w:rPr>
              <w:t>5,509.0</w:t>
            </w:r>
          </w:p>
        </w:tc>
        <w:tc>
          <w:tcPr>
            <w:tcW w:w="639" w:type="dxa"/>
            <w:tcBorders>
              <w:top w:val="nil"/>
              <w:left w:val="nil"/>
              <w:bottom w:val="single" w:sz="4" w:space="0" w:color="FFFFFF" w:themeColor="background1"/>
              <w:right w:val="nil"/>
            </w:tcBorders>
            <w:shd w:val="clear" w:color="auto" w:fill="auto"/>
            <w:noWrap/>
            <w:vAlign w:val="bottom"/>
            <w:hideMark/>
          </w:tcPr>
          <w:p w14:paraId="036931C0" w14:textId="77777777" w:rsidR="004701F4" w:rsidRPr="00A65462" w:rsidRDefault="004701F4" w:rsidP="005621E7">
            <w:pPr>
              <w:jc w:val="right"/>
              <w:rPr>
                <w:rFonts w:cstheme="minorHAnsi"/>
                <w:color w:val="000000"/>
                <w:sz w:val="16"/>
                <w:szCs w:val="16"/>
              </w:rPr>
            </w:pPr>
            <w:r w:rsidRPr="00A65462">
              <w:rPr>
                <w:color w:val="000000"/>
                <w:sz w:val="16"/>
              </w:rPr>
              <w:t>14.9</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5A648B2" w14:textId="77777777" w:rsidR="004701F4" w:rsidRPr="00A65462" w:rsidRDefault="004701F4" w:rsidP="005621E7">
            <w:pPr>
              <w:jc w:val="right"/>
              <w:rPr>
                <w:rFonts w:cstheme="minorHAnsi"/>
                <w:color w:val="000000"/>
                <w:sz w:val="16"/>
                <w:szCs w:val="16"/>
              </w:rPr>
            </w:pPr>
            <w:r w:rsidRPr="00A65462">
              <w:rPr>
                <w:color w:val="000000"/>
                <w:sz w:val="16"/>
              </w:rPr>
              <w:t>122.8</w:t>
            </w:r>
          </w:p>
        </w:tc>
      </w:tr>
      <w:tr w:rsidR="004701F4" w:rsidRPr="00A65462" w14:paraId="47D2F6E9"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359428E1" w14:textId="77777777" w:rsidR="004701F4" w:rsidRPr="00A65462" w:rsidRDefault="004701F4" w:rsidP="005621E7">
            <w:pPr>
              <w:rPr>
                <w:rFonts w:cstheme="minorHAnsi"/>
                <w:color w:val="000000"/>
                <w:sz w:val="16"/>
                <w:szCs w:val="16"/>
              </w:rPr>
            </w:pPr>
            <w:r w:rsidRPr="00A65462">
              <w:rPr>
                <w:color w:val="000000"/>
                <w:sz w:val="16"/>
              </w:rPr>
              <w:t>Sweden</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FF1214C" w14:textId="77777777" w:rsidR="004701F4" w:rsidRPr="00A65462" w:rsidRDefault="004701F4" w:rsidP="005621E7">
            <w:pPr>
              <w:jc w:val="right"/>
              <w:rPr>
                <w:rFonts w:cstheme="minorHAnsi"/>
                <w:color w:val="000000"/>
                <w:sz w:val="16"/>
                <w:szCs w:val="16"/>
              </w:rPr>
            </w:pPr>
            <w:r w:rsidRPr="00A65462">
              <w:rPr>
                <w:color w:val="000000"/>
                <w:sz w:val="16"/>
              </w:rPr>
              <w:t>1.3</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3097271E" w14:textId="77777777" w:rsidR="004701F4" w:rsidRPr="00A65462" w:rsidRDefault="004701F4" w:rsidP="005621E7">
            <w:pPr>
              <w:jc w:val="right"/>
              <w:rPr>
                <w:rFonts w:cstheme="minorHAnsi"/>
                <w:color w:val="000000"/>
                <w:sz w:val="16"/>
                <w:szCs w:val="16"/>
              </w:rPr>
            </w:pPr>
            <w:r w:rsidRPr="00A65462">
              <w:rPr>
                <w:color w:val="000000"/>
                <w:sz w:val="16"/>
              </w:rPr>
              <w:t>17,250.6</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31C480D1" w14:textId="77777777" w:rsidR="004701F4" w:rsidRPr="00A65462" w:rsidRDefault="004701F4" w:rsidP="005621E7">
            <w:pPr>
              <w:jc w:val="right"/>
              <w:rPr>
                <w:rFonts w:cstheme="minorHAnsi"/>
                <w:color w:val="000000"/>
                <w:sz w:val="16"/>
                <w:szCs w:val="16"/>
              </w:rPr>
            </w:pPr>
            <w:r w:rsidRPr="00A65462">
              <w:rPr>
                <w:color w:val="000000"/>
                <w:sz w:val="16"/>
              </w:rPr>
              <w:t>15,431.4</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5A8EA060" w14:textId="77777777" w:rsidR="004701F4" w:rsidRPr="00A65462" w:rsidRDefault="004701F4" w:rsidP="005621E7">
            <w:pPr>
              <w:jc w:val="right"/>
              <w:rPr>
                <w:rFonts w:cstheme="minorHAnsi"/>
                <w:color w:val="000000"/>
                <w:sz w:val="16"/>
                <w:szCs w:val="16"/>
              </w:rPr>
            </w:pPr>
            <w:r w:rsidRPr="00A65462">
              <w:rPr>
                <w:color w:val="000000"/>
                <w:sz w:val="16"/>
              </w:rPr>
              <w:t>-10.5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CAB6389" w14:textId="77777777" w:rsidR="004701F4" w:rsidRPr="00A65462" w:rsidRDefault="004701F4" w:rsidP="005621E7">
            <w:pPr>
              <w:jc w:val="right"/>
              <w:rPr>
                <w:rFonts w:cstheme="minorHAnsi"/>
                <w:color w:val="000000"/>
                <w:sz w:val="16"/>
                <w:szCs w:val="16"/>
              </w:rPr>
            </w:pPr>
            <w:r w:rsidRPr="00A65462">
              <w:rPr>
                <w:color w:val="000000"/>
                <w:sz w:val="16"/>
              </w:rPr>
              <w:t>0.5</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6163E62" w14:textId="77777777" w:rsidR="004701F4" w:rsidRPr="00A65462" w:rsidRDefault="004701F4" w:rsidP="005621E7">
            <w:pPr>
              <w:jc w:val="right"/>
              <w:rPr>
                <w:rFonts w:cstheme="minorHAnsi"/>
                <w:color w:val="000000"/>
                <w:sz w:val="16"/>
                <w:szCs w:val="16"/>
              </w:rPr>
            </w:pPr>
            <w:r w:rsidRPr="00A65462">
              <w:rPr>
                <w:color w:val="000000"/>
                <w:sz w:val="16"/>
              </w:rPr>
              <w:t>4,622.3</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E64179B" w14:textId="77777777" w:rsidR="004701F4" w:rsidRPr="00A65462" w:rsidRDefault="004701F4" w:rsidP="005621E7">
            <w:pPr>
              <w:jc w:val="right"/>
              <w:rPr>
                <w:rFonts w:cstheme="minorHAnsi"/>
                <w:color w:val="000000"/>
                <w:sz w:val="16"/>
                <w:szCs w:val="16"/>
              </w:rPr>
            </w:pPr>
            <w:r w:rsidRPr="00A65462">
              <w:rPr>
                <w:color w:val="000000"/>
                <w:sz w:val="16"/>
              </w:rPr>
              <w:t>3,843.9</w:t>
            </w:r>
          </w:p>
        </w:tc>
        <w:tc>
          <w:tcPr>
            <w:tcW w:w="639" w:type="dxa"/>
            <w:tcBorders>
              <w:top w:val="nil"/>
              <w:left w:val="nil"/>
              <w:bottom w:val="single" w:sz="4" w:space="0" w:color="FFFFFF" w:themeColor="background1"/>
              <w:right w:val="nil"/>
            </w:tcBorders>
            <w:shd w:val="clear" w:color="auto" w:fill="auto"/>
            <w:noWrap/>
            <w:vAlign w:val="bottom"/>
            <w:hideMark/>
          </w:tcPr>
          <w:p w14:paraId="40EA85A0" w14:textId="77777777" w:rsidR="004701F4" w:rsidRPr="00A65462" w:rsidRDefault="004701F4" w:rsidP="005621E7">
            <w:pPr>
              <w:jc w:val="right"/>
              <w:rPr>
                <w:rFonts w:cstheme="minorHAnsi"/>
                <w:color w:val="000000"/>
                <w:sz w:val="16"/>
                <w:szCs w:val="16"/>
              </w:rPr>
            </w:pPr>
            <w:r w:rsidRPr="00A65462">
              <w:rPr>
                <w:color w:val="000000"/>
                <w:sz w:val="16"/>
              </w:rPr>
              <w:t>-16.8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0152FAF" w14:textId="77777777" w:rsidR="004701F4" w:rsidRPr="00A65462" w:rsidRDefault="004701F4" w:rsidP="005621E7">
            <w:pPr>
              <w:jc w:val="right"/>
              <w:rPr>
                <w:rFonts w:cstheme="minorHAnsi"/>
                <w:color w:val="000000"/>
                <w:sz w:val="16"/>
                <w:szCs w:val="16"/>
              </w:rPr>
            </w:pPr>
            <w:r w:rsidRPr="00A65462">
              <w:rPr>
                <w:color w:val="000000"/>
                <w:sz w:val="16"/>
              </w:rPr>
              <w:t>24.9</w:t>
            </w:r>
          </w:p>
        </w:tc>
      </w:tr>
      <w:tr w:rsidR="004701F4" w:rsidRPr="00A65462" w14:paraId="5450F16A"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0357142D" w14:textId="77777777" w:rsidR="004701F4" w:rsidRPr="00A65462" w:rsidRDefault="004701F4" w:rsidP="005621E7">
            <w:pPr>
              <w:rPr>
                <w:rFonts w:cstheme="minorHAnsi"/>
                <w:color w:val="000000"/>
                <w:sz w:val="16"/>
                <w:szCs w:val="16"/>
              </w:rPr>
            </w:pPr>
            <w:r w:rsidRPr="00A65462">
              <w:rPr>
                <w:color w:val="000000"/>
                <w:sz w:val="16"/>
              </w:rPr>
              <w:t>Czech Republic</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EADC70F" w14:textId="77777777" w:rsidR="004701F4" w:rsidRPr="00A65462" w:rsidRDefault="004701F4" w:rsidP="005621E7">
            <w:pPr>
              <w:jc w:val="right"/>
              <w:rPr>
                <w:rFonts w:cstheme="minorHAnsi"/>
                <w:color w:val="000000"/>
                <w:sz w:val="16"/>
                <w:szCs w:val="16"/>
              </w:rPr>
            </w:pPr>
            <w:r w:rsidRPr="00A65462">
              <w:rPr>
                <w:color w:val="000000"/>
                <w:sz w:val="16"/>
              </w:rPr>
              <w:t>0.7</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2BBA5395" w14:textId="77777777" w:rsidR="004701F4" w:rsidRPr="00A65462" w:rsidRDefault="004701F4" w:rsidP="005621E7">
            <w:pPr>
              <w:jc w:val="right"/>
              <w:rPr>
                <w:rFonts w:cstheme="minorHAnsi"/>
                <w:color w:val="000000"/>
                <w:sz w:val="16"/>
                <w:szCs w:val="16"/>
              </w:rPr>
            </w:pPr>
            <w:r w:rsidRPr="00A65462">
              <w:rPr>
                <w:color w:val="000000"/>
                <w:sz w:val="16"/>
              </w:rPr>
              <w:t>11,791.5</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26253965" w14:textId="77777777" w:rsidR="004701F4" w:rsidRPr="00A65462" w:rsidRDefault="004701F4" w:rsidP="005621E7">
            <w:pPr>
              <w:jc w:val="right"/>
              <w:rPr>
                <w:rFonts w:cstheme="minorHAnsi"/>
                <w:color w:val="000000"/>
                <w:sz w:val="16"/>
                <w:szCs w:val="16"/>
              </w:rPr>
            </w:pPr>
            <w:r w:rsidRPr="00A65462">
              <w:rPr>
                <w:color w:val="000000"/>
                <w:sz w:val="16"/>
              </w:rPr>
              <w:t>8,023.5</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D17AF5B" w14:textId="77777777" w:rsidR="004701F4" w:rsidRPr="00A65462" w:rsidRDefault="004701F4" w:rsidP="005621E7">
            <w:pPr>
              <w:jc w:val="right"/>
              <w:rPr>
                <w:rFonts w:cstheme="minorHAnsi"/>
                <w:color w:val="000000"/>
                <w:sz w:val="16"/>
                <w:szCs w:val="16"/>
              </w:rPr>
            </w:pPr>
            <w:r w:rsidRPr="00A65462">
              <w:rPr>
                <w:color w:val="000000"/>
                <w:sz w:val="16"/>
              </w:rPr>
              <w:t>-32.0</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0AF23D5" w14:textId="77777777" w:rsidR="004701F4" w:rsidRPr="00A65462" w:rsidRDefault="004701F4" w:rsidP="005621E7">
            <w:pPr>
              <w:jc w:val="right"/>
              <w:rPr>
                <w:rFonts w:cstheme="minorHAnsi"/>
                <w:color w:val="000000"/>
                <w:sz w:val="16"/>
                <w:szCs w:val="16"/>
              </w:rPr>
            </w:pPr>
            <w:r w:rsidRPr="00A65462">
              <w:rPr>
                <w:color w:val="000000"/>
                <w:sz w:val="16"/>
              </w:rPr>
              <w:t>0.8</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9FE59E7" w14:textId="77777777" w:rsidR="004701F4" w:rsidRPr="00A65462" w:rsidRDefault="004701F4" w:rsidP="005621E7">
            <w:pPr>
              <w:jc w:val="right"/>
              <w:rPr>
                <w:rFonts w:cstheme="minorHAnsi"/>
                <w:color w:val="000000"/>
                <w:sz w:val="16"/>
                <w:szCs w:val="16"/>
              </w:rPr>
            </w:pPr>
            <w:r w:rsidRPr="00A65462">
              <w:rPr>
                <w:color w:val="000000"/>
                <w:sz w:val="16"/>
              </w:rPr>
              <w:t>4,497.1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DCBBD40" w14:textId="77777777" w:rsidR="004701F4" w:rsidRPr="00A65462" w:rsidRDefault="004701F4" w:rsidP="005621E7">
            <w:pPr>
              <w:jc w:val="right"/>
              <w:rPr>
                <w:rFonts w:cstheme="minorHAnsi"/>
                <w:color w:val="000000"/>
                <w:sz w:val="16"/>
                <w:szCs w:val="16"/>
              </w:rPr>
            </w:pPr>
            <w:r w:rsidRPr="00A65462">
              <w:rPr>
                <w:color w:val="000000"/>
                <w:sz w:val="16"/>
              </w:rPr>
              <w:t>6,506.1</w:t>
            </w:r>
          </w:p>
        </w:tc>
        <w:tc>
          <w:tcPr>
            <w:tcW w:w="639" w:type="dxa"/>
            <w:tcBorders>
              <w:top w:val="nil"/>
              <w:left w:val="nil"/>
              <w:bottom w:val="single" w:sz="4" w:space="0" w:color="FFFFFF" w:themeColor="background1"/>
              <w:right w:val="nil"/>
            </w:tcBorders>
            <w:shd w:val="clear" w:color="auto" w:fill="auto"/>
            <w:noWrap/>
            <w:vAlign w:val="bottom"/>
            <w:hideMark/>
          </w:tcPr>
          <w:p w14:paraId="2C27FAEC" w14:textId="77777777" w:rsidR="004701F4" w:rsidRPr="00A65462" w:rsidRDefault="004701F4" w:rsidP="005621E7">
            <w:pPr>
              <w:jc w:val="right"/>
              <w:rPr>
                <w:rFonts w:cstheme="minorHAnsi"/>
                <w:color w:val="000000"/>
                <w:sz w:val="16"/>
                <w:szCs w:val="16"/>
              </w:rPr>
            </w:pPr>
            <w:r w:rsidRPr="00A65462">
              <w:rPr>
                <w:color w:val="000000"/>
                <w:sz w:val="16"/>
              </w:rPr>
              <w:t>44.7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4D1EBD4" w14:textId="77777777" w:rsidR="004701F4" w:rsidRPr="00A65462" w:rsidRDefault="004701F4" w:rsidP="005621E7">
            <w:pPr>
              <w:jc w:val="right"/>
              <w:rPr>
                <w:rFonts w:cstheme="minorHAnsi"/>
                <w:color w:val="000000"/>
                <w:sz w:val="16"/>
                <w:szCs w:val="16"/>
              </w:rPr>
            </w:pPr>
            <w:r w:rsidRPr="00A65462">
              <w:rPr>
                <w:color w:val="000000"/>
                <w:sz w:val="16"/>
              </w:rPr>
              <w:t>81.1</w:t>
            </w:r>
          </w:p>
        </w:tc>
      </w:tr>
      <w:tr w:rsidR="004701F4" w:rsidRPr="00A65462" w14:paraId="1FE73393"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404A61B3" w14:textId="77777777" w:rsidR="004701F4" w:rsidRPr="00A65462" w:rsidRDefault="004701F4" w:rsidP="005621E7">
            <w:pPr>
              <w:rPr>
                <w:rFonts w:cstheme="minorHAnsi"/>
                <w:color w:val="000000"/>
                <w:sz w:val="16"/>
                <w:szCs w:val="16"/>
              </w:rPr>
            </w:pPr>
            <w:r w:rsidRPr="00A65462">
              <w:rPr>
                <w:color w:val="000000"/>
                <w:sz w:val="16"/>
              </w:rPr>
              <w:t>Denmark</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092E2FA" w14:textId="77777777" w:rsidR="004701F4" w:rsidRPr="00A65462" w:rsidRDefault="004701F4" w:rsidP="005621E7">
            <w:pPr>
              <w:jc w:val="right"/>
              <w:rPr>
                <w:rFonts w:cstheme="minorHAnsi"/>
                <w:color w:val="000000"/>
                <w:sz w:val="16"/>
                <w:szCs w:val="16"/>
              </w:rPr>
            </w:pPr>
            <w:r w:rsidRPr="00A65462">
              <w:rPr>
                <w:color w:val="000000"/>
                <w:sz w:val="16"/>
              </w:rPr>
              <w:t>2.3</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1E1A4738" w14:textId="77777777" w:rsidR="004701F4" w:rsidRPr="00A65462" w:rsidRDefault="004701F4" w:rsidP="005621E7">
            <w:pPr>
              <w:jc w:val="right"/>
              <w:rPr>
                <w:rFonts w:cstheme="minorHAnsi"/>
                <w:color w:val="000000"/>
                <w:sz w:val="16"/>
                <w:szCs w:val="16"/>
              </w:rPr>
            </w:pPr>
            <w:r w:rsidRPr="00A65462">
              <w:rPr>
                <w:color w:val="000000"/>
                <w:sz w:val="16"/>
              </w:rPr>
              <w:t>27,507.9</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712B043C" w14:textId="77777777" w:rsidR="004701F4" w:rsidRPr="00A65462" w:rsidRDefault="004701F4" w:rsidP="005621E7">
            <w:pPr>
              <w:jc w:val="right"/>
              <w:rPr>
                <w:rFonts w:cstheme="minorHAnsi"/>
                <w:color w:val="000000"/>
                <w:sz w:val="16"/>
                <w:szCs w:val="16"/>
              </w:rPr>
            </w:pPr>
            <w:r w:rsidRPr="00A65462">
              <w:rPr>
                <w:color w:val="000000"/>
                <w:sz w:val="16"/>
              </w:rPr>
              <w:t>27,580.6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1A4E75C9" w14:textId="77777777" w:rsidR="004701F4" w:rsidRPr="00A65462" w:rsidRDefault="004701F4" w:rsidP="005621E7">
            <w:pPr>
              <w:jc w:val="right"/>
              <w:rPr>
                <w:rFonts w:cstheme="minorHAnsi"/>
                <w:color w:val="000000"/>
                <w:sz w:val="16"/>
                <w:szCs w:val="16"/>
              </w:rPr>
            </w:pPr>
            <w:r w:rsidRPr="00A65462">
              <w:rPr>
                <w:color w:val="000000"/>
                <w:sz w:val="16"/>
              </w:rPr>
              <w:t>0.3</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F09652E" w14:textId="77777777" w:rsidR="004701F4" w:rsidRPr="00A65462" w:rsidRDefault="004701F4" w:rsidP="005621E7">
            <w:pPr>
              <w:jc w:val="right"/>
              <w:rPr>
                <w:rFonts w:cstheme="minorHAnsi"/>
                <w:color w:val="000000"/>
                <w:sz w:val="16"/>
                <w:szCs w:val="16"/>
              </w:rPr>
            </w:pPr>
            <w:r w:rsidRPr="00A65462">
              <w:rPr>
                <w:color w:val="000000"/>
                <w:sz w:val="16"/>
              </w:rPr>
              <w:t>0.4</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67B624A" w14:textId="77777777" w:rsidR="004701F4" w:rsidRPr="00A65462" w:rsidRDefault="004701F4" w:rsidP="005621E7">
            <w:pPr>
              <w:jc w:val="right"/>
              <w:rPr>
                <w:rFonts w:cstheme="minorHAnsi"/>
                <w:color w:val="000000"/>
                <w:sz w:val="16"/>
                <w:szCs w:val="16"/>
              </w:rPr>
            </w:pPr>
            <w:r w:rsidRPr="00A65462">
              <w:rPr>
                <w:color w:val="000000"/>
                <w:sz w:val="16"/>
              </w:rPr>
              <w:t>3,902.2</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6767CC9" w14:textId="77777777" w:rsidR="004701F4" w:rsidRPr="00A65462" w:rsidRDefault="004701F4" w:rsidP="005621E7">
            <w:pPr>
              <w:jc w:val="right"/>
              <w:rPr>
                <w:rFonts w:cstheme="minorHAnsi"/>
                <w:color w:val="000000"/>
                <w:sz w:val="16"/>
                <w:szCs w:val="16"/>
              </w:rPr>
            </w:pPr>
            <w:r w:rsidRPr="00A65462">
              <w:rPr>
                <w:color w:val="000000"/>
                <w:sz w:val="16"/>
              </w:rPr>
              <w:t>2,965.9</w:t>
            </w:r>
          </w:p>
        </w:tc>
        <w:tc>
          <w:tcPr>
            <w:tcW w:w="639" w:type="dxa"/>
            <w:tcBorders>
              <w:top w:val="nil"/>
              <w:left w:val="nil"/>
              <w:bottom w:val="single" w:sz="4" w:space="0" w:color="FFFFFF" w:themeColor="background1"/>
              <w:right w:val="nil"/>
            </w:tcBorders>
            <w:shd w:val="clear" w:color="auto" w:fill="auto"/>
            <w:noWrap/>
            <w:vAlign w:val="bottom"/>
            <w:hideMark/>
          </w:tcPr>
          <w:p w14:paraId="7A9E04EE" w14:textId="77777777" w:rsidR="004701F4" w:rsidRPr="00A65462" w:rsidRDefault="004701F4" w:rsidP="005621E7">
            <w:pPr>
              <w:jc w:val="right"/>
              <w:rPr>
                <w:rFonts w:cstheme="minorHAnsi"/>
                <w:color w:val="000000"/>
                <w:sz w:val="16"/>
                <w:szCs w:val="16"/>
              </w:rPr>
            </w:pPr>
            <w:r w:rsidRPr="00A65462">
              <w:rPr>
                <w:color w:val="000000"/>
                <w:sz w:val="16"/>
              </w:rPr>
              <w:t>-24.0</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B301D78" w14:textId="77777777" w:rsidR="004701F4" w:rsidRPr="00A65462" w:rsidRDefault="004701F4" w:rsidP="005621E7">
            <w:pPr>
              <w:jc w:val="right"/>
              <w:rPr>
                <w:rFonts w:cstheme="minorHAnsi"/>
                <w:color w:val="000000"/>
                <w:sz w:val="16"/>
                <w:szCs w:val="16"/>
              </w:rPr>
            </w:pPr>
            <w:r w:rsidRPr="00A65462">
              <w:rPr>
                <w:color w:val="000000"/>
                <w:sz w:val="16"/>
              </w:rPr>
              <w:t>10.8</w:t>
            </w:r>
          </w:p>
        </w:tc>
      </w:tr>
      <w:tr w:rsidR="004701F4" w:rsidRPr="00A65462" w14:paraId="362414EB"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03B263F9" w14:textId="77777777" w:rsidR="004701F4" w:rsidRPr="00A65462" w:rsidRDefault="004701F4" w:rsidP="005621E7">
            <w:pPr>
              <w:rPr>
                <w:rFonts w:cstheme="minorHAnsi"/>
                <w:color w:val="000000"/>
                <w:sz w:val="16"/>
                <w:szCs w:val="16"/>
              </w:rPr>
            </w:pPr>
            <w:r w:rsidRPr="00A65462">
              <w:rPr>
                <w:color w:val="000000"/>
                <w:sz w:val="16"/>
              </w:rPr>
              <w:t>Lithuania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DB20B90" w14:textId="77777777" w:rsidR="004701F4" w:rsidRPr="00A65462" w:rsidRDefault="004701F4" w:rsidP="005621E7">
            <w:pPr>
              <w:jc w:val="right"/>
              <w:rPr>
                <w:rFonts w:cstheme="minorHAnsi"/>
                <w:color w:val="000000"/>
                <w:sz w:val="16"/>
                <w:szCs w:val="16"/>
              </w:rPr>
            </w:pPr>
            <w:r w:rsidRPr="00A65462">
              <w:rPr>
                <w:color w:val="000000"/>
                <w:sz w:val="16"/>
              </w:rPr>
              <w:t>1.2</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627297C9" w14:textId="77777777" w:rsidR="004701F4" w:rsidRPr="00A65462" w:rsidRDefault="004701F4" w:rsidP="005621E7">
            <w:pPr>
              <w:jc w:val="right"/>
              <w:rPr>
                <w:rFonts w:cstheme="minorHAnsi"/>
                <w:color w:val="000000"/>
                <w:sz w:val="16"/>
                <w:szCs w:val="16"/>
              </w:rPr>
            </w:pPr>
            <w:r w:rsidRPr="00A65462">
              <w:rPr>
                <w:color w:val="000000"/>
                <w:sz w:val="16"/>
              </w:rPr>
              <w:t>13,943.1</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6135D940" w14:textId="77777777" w:rsidR="004701F4" w:rsidRPr="00A65462" w:rsidRDefault="004701F4" w:rsidP="005621E7">
            <w:pPr>
              <w:jc w:val="right"/>
              <w:rPr>
                <w:rFonts w:cstheme="minorHAnsi"/>
                <w:color w:val="000000"/>
                <w:sz w:val="16"/>
                <w:szCs w:val="16"/>
              </w:rPr>
            </w:pPr>
            <w:r w:rsidRPr="00A65462">
              <w:rPr>
                <w:color w:val="000000"/>
                <w:sz w:val="16"/>
              </w:rPr>
              <w:t>14,025.9</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9DC6748" w14:textId="77777777" w:rsidR="004701F4" w:rsidRPr="00A65462" w:rsidRDefault="004701F4" w:rsidP="005621E7">
            <w:pPr>
              <w:jc w:val="right"/>
              <w:rPr>
                <w:rFonts w:cstheme="minorHAnsi"/>
                <w:color w:val="000000"/>
                <w:sz w:val="16"/>
                <w:szCs w:val="16"/>
              </w:rPr>
            </w:pPr>
            <w:r w:rsidRPr="00A65462">
              <w:rPr>
                <w:color w:val="000000"/>
                <w:sz w:val="16"/>
              </w:rPr>
              <w:t>0.6</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77318BC" w14:textId="77777777" w:rsidR="004701F4" w:rsidRPr="00A65462" w:rsidRDefault="004701F4" w:rsidP="005621E7">
            <w:pPr>
              <w:jc w:val="right"/>
              <w:rPr>
                <w:rFonts w:cstheme="minorHAnsi"/>
                <w:color w:val="000000"/>
                <w:sz w:val="16"/>
                <w:szCs w:val="16"/>
              </w:rPr>
            </w:pPr>
            <w:r w:rsidRPr="00A65462">
              <w:rPr>
                <w:color w:val="000000"/>
                <w:sz w:val="16"/>
              </w:rPr>
              <w:t>0.3</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588CD80" w14:textId="77777777" w:rsidR="004701F4" w:rsidRPr="00A65462" w:rsidRDefault="004701F4" w:rsidP="005621E7">
            <w:pPr>
              <w:jc w:val="right"/>
              <w:rPr>
                <w:rFonts w:cstheme="minorHAnsi"/>
                <w:color w:val="000000"/>
                <w:sz w:val="16"/>
                <w:szCs w:val="16"/>
              </w:rPr>
            </w:pPr>
            <w:r w:rsidRPr="00A65462">
              <w:rPr>
                <w:color w:val="000000"/>
                <w:sz w:val="16"/>
              </w:rPr>
              <w:t>1,998.0</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C405BE1" w14:textId="77777777" w:rsidR="004701F4" w:rsidRPr="00A65462" w:rsidRDefault="004701F4" w:rsidP="005621E7">
            <w:pPr>
              <w:jc w:val="right"/>
              <w:rPr>
                <w:rFonts w:cstheme="minorHAnsi"/>
                <w:color w:val="000000"/>
                <w:sz w:val="16"/>
                <w:szCs w:val="16"/>
              </w:rPr>
            </w:pPr>
            <w:r w:rsidRPr="00A65462">
              <w:rPr>
                <w:color w:val="000000"/>
                <w:sz w:val="16"/>
              </w:rPr>
              <w:t>2,671.0</w:t>
            </w:r>
          </w:p>
        </w:tc>
        <w:tc>
          <w:tcPr>
            <w:tcW w:w="639" w:type="dxa"/>
            <w:tcBorders>
              <w:top w:val="nil"/>
              <w:left w:val="nil"/>
              <w:bottom w:val="single" w:sz="4" w:space="0" w:color="FFFFFF" w:themeColor="background1"/>
              <w:right w:val="nil"/>
            </w:tcBorders>
            <w:shd w:val="clear" w:color="auto" w:fill="auto"/>
            <w:noWrap/>
            <w:vAlign w:val="bottom"/>
            <w:hideMark/>
          </w:tcPr>
          <w:p w14:paraId="1C1178F1" w14:textId="77777777" w:rsidR="004701F4" w:rsidRPr="00A65462" w:rsidRDefault="004701F4" w:rsidP="005621E7">
            <w:pPr>
              <w:jc w:val="right"/>
              <w:rPr>
                <w:rFonts w:cstheme="minorHAnsi"/>
                <w:color w:val="000000"/>
                <w:sz w:val="16"/>
                <w:szCs w:val="16"/>
              </w:rPr>
            </w:pPr>
            <w:r w:rsidRPr="00A65462">
              <w:rPr>
                <w:color w:val="000000"/>
                <w:sz w:val="16"/>
              </w:rPr>
              <w:t>33.7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55983D9" w14:textId="77777777" w:rsidR="004701F4" w:rsidRPr="00A65462" w:rsidRDefault="004701F4" w:rsidP="005621E7">
            <w:pPr>
              <w:jc w:val="right"/>
              <w:rPr>
                <w:rFonts w:cstheme="minorHAnsi"/>
                <w:color w:val="000000"/>
                <w:sz w:val="16"/>
                <w:szCs w:val="16"/>
              </w:rPr>
            </w:pPr>
            <w:r w:rsidRPr="00A65462">
              <w:rPr>
                <w:color w:val="000000"/>
                <w:sz w:val="16"/>
              </w:rPr>
              <w:t>19.0</w:t>
            </w:r>
          </w:p>
        </w:tc>
      </w:tr>
      <w:tr w:rsidR="004701F4" w:rsidRPr="00A65462" w14:paraId="6A51BD3F"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2143433B" w14:textId="77777777" w:rsidR="004701F4" w:rsidRPr="00A65462" w:rsidRDefault="004701F4" w:rsidP="005621E7">
            <w:pPr>
              <w:rPr>
                <w:rFonts w:cstheme="minorHAnsi"/>
                <w:color w:val="000000"/>
                <w:sz w:val="16"/>
                <w:szCs w:val="16"/>
              </w:rPr>
            </w:pPr>
            <w:r w:rsidRPr="00A65462">
              <w:rPr>
                <w:color w:val="000000"/>
                <w:sz w:val="16"/>
              </w:rPr>
              <w:t>Romania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C76E954" w14:textId="77777777" w:rsidR="004701F4" w:rsidRPr="00A65462" w:rsidRDefault="004701F4" w:rsidP="005621E7">
            <w:pPr>
              <w:jc w:val="right"/>
              <w:rPr>
                <w:rFonts w:cstheme="minorHAnsi"/>
                <w:color w:val="000000"/>
                <w:sz w:val="16"/>
                <w:szCs w:val="16"/>
              </w:rPr>
            </w:pPr>
            <w:r w:rsidRPr="00A65462">
              <w:rPr>
                <w:color w:val="000000"/>
                <w:sz w:val="16"/>
              </w:rPr>
              <w:t>2.2</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68E20C83" w14:textId="77777777" w:rsidR="004701F4" w:rsidRPr="00A65462" w:rsidRDefault="004701F4" w:rsidP="005621E7">
            <w:pPr>
              <w:jc w:val="right"/>
              <w:rPr>
                <w:rFonts w:cstheme="minorHAnsi"/>
                <w:color w:val="000000"/>
                <w:sz w:val="16"/>
                <w:szCs w:val="16"/>
              </w:rPr>
            </w:pPr>
            <w:r w:rsidRPr="00A65462">
              <w:rPr>
                <w:color w:val="000000"/>
                <w:sz w:val="16"/>
              </w:rPr>
              <w:t>29,642.6</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4306E4FE" w14:textId="77777777" w:rsidR="004701F4" w:rsidRPr="00A65462" w:rsidRDefault="004701F4" w:rsidP="005621E7">
            <w:pPr>
              <w:jc w:val="right"/>
              <w:rPr>
                <w:rFonts w:cstheme="minorHAnsi"/>
                <w:color w:val="000000"/>
                <w:sz w:val="16"/>
                <w:szCs w:val="16"/>
              </w:rPr>
            </w:pPr>
            <w:r w:rsidRPr="00A65462">
              <w:rPr>
                <w:color w:val="000000"/>
                <w:sz w:val="16"/>
              </w:rPr>
              <w:t>27,334.2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A8BB139" w14:textId="77777777" w:rsidR="004701F4" w:rsidRPr="00A65462" w:rsidRDefault="004701F4" w:rsidP="005621E7">
            <w:pPr>
              <w:jc w:val="right"/>
              <w:rPr>
                <w:rFonts w:cstheme="minorHAnsi"/>
                <w:color w:val="000000"/>
                <w:sz w:val="16"/>
                <w:szCs w:val="16"/>
              </w:rPr>
            </w:pPr>
            <w:r w:rsidRPr="00A65462">
              <w:rPr>
                <w:color w:val="000000"/>
                <w:sz w:val="16"/>
              </w:rPr>
              <w:t>-7.8</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C1AC673" w14:textId="77777777" w:rsidR="004701F4" w:rsidRPr="00A65462" w:rsidRDefault="004701F4" w:rsidP="005621E7">
            <w:pPr>
              <w:jc w:val="right"/>
              <w:rPr>
                <w:rFonts w:cstheme="minorHAnsi"/>
                <w:color w:val="000000"/>
                <w:sz w:val="16"/>
                <w:szCs w:val="16"/>
              </w:rPr>
            </w:pPr>
            <w:r w:rsidRPr="00A65462">
              <w:rPr>
                <w:color w:val="000000"/>
                <w:sz w:val="16"/>
              </w:rPr>
              <w:t>0.2</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A3C159A" w14:textId="77777777" w:rsidR="004701F4" w:rsidRPr="00A65462" w:rsidRDefault="004701F4" w:rsidP="005621E7">
            <w:pPr>
              <w:jc w:val="right"/>
              <w:rPr>
                <w:rFonts w:cstheme="minorHAnsi"/>
                <w:color w:val="000000"/>
                <w:sz w:val="16"/>
                <w:szCs w:val="16"/>
              </w:rPr>
            </w:pPr>
            <w:r w:rsidRPr="00A65462">
              <w:rPr>
                <w:color w:val="000000"/>
                <w:sz w:val="16"/>
              </w:rPr>
              <w:t>1,984.2</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E157708" w14:textId="77777777" w:rsidR="004701F4" w:rsidRPr="00A65462" w:rsidRDefault="004701F4" w:rsidP="005621E7">
            <w:pPr>
              <w:jc w:val="right"/>
              <w:rPr>
                <w:rFonts w:cstheme="minorHAnsi"/>
                <w:color w:val="000000"/>
                <w:sz w:val="16"/>
                <w:szCs w:val="16"/>
              </w:rPr>
            </w:pPr>
            <w:r w:rsidRPr="00A65462">
              <w:rPr>
                <w:color w:val="000000"/>
                <w:sz w:val="16"/>
              </w:rPr>
              <w:t>1,260.2</w:t>
            </w:r>
          </w:p>
        </w:tc>
        <w:tc>
          <w:tcPr>
            <w:tcW w:w="639" w:type="dxa"/>
            <w:tcBorders>
              <w:top w:val="nil"/>
              <w:left w:val="nil"/>
              <w:bottom w:val="single" w:sz="4" w:space="0" w:color="FFFFFF" w:themeColor="background1"/>
              <w:right w:val="nil"/>
            </w:tcBorders>
            <w:shd w:val="clear" w:color="auto" w:fill="auto"/>
            <w:noWrap/>
            <w:vAlign w:val="bottom"/>
            <w:hideMark/>
          </w:tcPr>
          <w:p w14:paraId="58844FB0" w14:textId="77777777" w:rsidR="004701F4" w:rsidRPr="00A65462" w:rsidRDefault="004701F4" w:rsidP="005621E7">
            <w:pPr>
              <w:jc w:val="right"/>
              <w:rPr>
                <w:rFonts w:cstheme="minorHAnsi"/>
                <w:color w:val="000000"/>
                <w:sz w:val="16"/>
                <w:szCs w:val="16"/>
              </w:rPr>
            </w:pPr>
            <w:r w:rsidRPr="00A65462">
              <w:rPr>
                <w:color w:val="000000"/>
                <w:sz w:val="16"/>
              </w:rPr>
              <w:t>-36.5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6F1EE59" w14:textId="77777777" w:rsidR="004701F4" w:rsidRPr="00A65462" w:rsidRDefault="004701F4" w:rsidP="005621E7">
            <w:pPr>
              <w:jc w:val="right"/>
              <w:rPr>
                <w:rFonts w:cstheme="minorHAnsi"/>
                <w:color w:val="000000"/>
                <w:sz w:val="16"/>
                <w:szCs w:val="16"/>
              </w:rPr>
            </w:pPr>
            <w:r w:rsidRPr="00A65462">
              <w:rPr>
                <w:color w:val="000000"/>
                <w:sz w:val="16"/>
              </w:rPr>
              <w:t>4.6</w:t>
            </w:r>
          </w:p>
        </w:tc>
      </w:tr>
      <w:tr w:rsidR="004701F4" w:rsidRPr="00A65462" w14:paraId="260608CD"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5CD60FD3" w14:textId="77777777" w:rsidR="004701F4" w:rsidRPr="00A65462" w:rsidRDefault="004701F4" w:rsidP="005621E7">
            <w:pPr>
              <w:rPr>
                <w:rFonts w:cstheme="minorHAnsi"/>
                <w:color w:val="000000"/>
                <w:sz w:val="16"/>
                <w:szCs w:val="16"/>
              </w:rPr>
            </w:pPr>
            <w:r w:rsidRPr="00A65462">
              <w:rPr>
                <w:color w:val="000000"/>
                <w:sz w:val="16"/>
              </w:rPr>
              <w:t>Greece</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B29E7BF"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31AC58EA" w14:textId="77777777" w:rsidR="004701F4" w:rsidRPr="00A65462" w:rsidRDefault="004701F4" w:rsidP="005621E7">
            <w:pPr>
              <w:jc w:val="right"/>
              <w:rPr>
                <w:rFonts w:cstheme="minorHAnsi"/>
                <w:color w:val="000000"/>
                <w:sz w:val="16"/>
                <w:szCs w:val="16"/>
              </w:rPr>
            </w:pPr>
            <w:r w:rsidRPr="00A65462">
              <w:rPr>
                <w:color w:val="000000"/>
                <w:sz w:val="16"/>
              </w:rPr>
              <w:t>150.4</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3BDBCA45" w14:textId="77777777" w:rsidR="004701F4" w:rsidRPr="00A65462" w:rsidRDefault="004701F4" w:rsidP="005621E7">
            <w:pPr>
              <w:jc w:val="right"/>
              <w:rPr>
                <w:rFonts w:cstheme="minorHAnsi"/>
                <w:color w:val="000000"/>
                <w:sz w:val="16"/>
                <w:szCs w:val="16"/>
              </w:rPr>
            </w:pPr>
            <w:r w:rsidRPr="00A65462">
              <w:rPr>
                <w:color w:val="000000"/>
                <w:sz w:val="16"/>
              </w:rPr>
              <w:t>123.5</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9EB9AEB" w14:textId="77777777" w:rsidR="004701F4" w:rsidRPr="00A65462" w:rsidRDefault="004701F4" w:rsidP="005621E7">
            <w:pPr>
              <w:jc w:val="right"/>
              <w:rPr>
                <w:rFonts w:cstheme="minorHAnsi"/>
                <w:color w:val="000000"/>
                <w:sz w:val="16"/>
                <w:szCs w:val="16"/>
              </w:rPr>
            </w:pPr>
            <w:r w:rsidRPr="00A65462">
              <w:rPr>
                <w:color w:val="000000"/>
                <w:sz w:val="16"/>
              </w:rPr>
              <w:t>-17.9</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EA3321D" w14:textId="77777777" w:rsidR="004701F4" w:rsidRPr="00A65462" w:rsidRDefault="004701F4" w:rsidP="005621E7">
            <w:pPr>
              <w:jc w:val="right"/>
              <w:rPr>
                <w:rFonts w:cstheme="minorHAnsi"/>
                <w:color w:val="000000"/>
                <w:sz w:val="16"/>
                <w:szCs w:val="16"/>
              </w:rPr>
            </w:pPr>
            <w:r w:rsidRPr="00A65462">
              <w:rPr>
                <w:color w:val="000000"/>
                <w:sz w:val="16"/>
              </w:rPr>
              <w:t>0.3</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5C66F68" w14:textId="77777777" w:rsidR="004701F4" w:rsidRPr="00A65462" w:rsidRDefault="004701F4" w:rsidP="005621E7">
            <w:pPr>
              <w:jc w:val="right"/>
              <w:rPr>
                <w:rFonts w:cstheme="minorHAnsi"/>
                <w:color w:val="000000"/>
                <w:sz w:val="16"/>
                <w:szCs w:val="16"/>
              </w:rPr>
            </w:pPr>
            <w:r w:rsidRPr="00A65462">
              <w:rPr>
                <w:color w:val="000000"/>
                <w:sz w:val="16"/>
              </w:rPr>
              <w:t>2,078.7</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8ACBFB3" w14:textId="77777777" w:rsidR="004701F4" w:rsidRPr="00A65462" w:rsidRDefault="004701F4" w:rsidP="005621E7">
            <w:pPr>
              <w:jc w:val="right"/>
              <w:rPr>
                <w:rFonts w:cstheme="minorHAnsi"/>
                <w:color w:val="000000"/>
                <w:sz w:val="16"/>
                <w:szCs w:val="16"/>
              </w:rPr>
            </w:pPr>
            <w:r w:rsidRPr="00A65462">
              <w:rPr>
                <w:color w:val="000000"/>
                <w:sz w:val="16"/>
              </w:rPr>
              <w:t>2,185.9</w:t>
            </w:r>
          </w:p>
        </w:tc>
        <w:tc>
          <w:tcPr>
            <w:tcW w:w="639" w:type="dxa"/>
            <w:tcBorders>
              <w:top w:val="nil"/>
              <w:left w:val="nil"/>
              <w:bottom w:val="single" w:sz="4" w:space="0" w:color="FFFFFF" w:themeColor="background1"/>
              <w:right w:val="nil"/>
            </w:tcBorders>
            <w:shd w:val="clear" w:color="auto" w:fill="auto"/>
            <w:noWrap/>
            <w:vAlign w:val="bottom"/>
            <w:hideMark/>
          </w:tcPr>
          <w:p w14:paraId="3643047A" w14:textId="77777777" w:rsidR="004701F4" w:rsidRPr="00A65462" w:rsidRDefault="004701F4" w:rsidP="005621E7">
            <w:pPr>
              <w:jc w:val="right"/>
              <w:rPr>
                <w:rFonts w:cstheme="minorHAnsi"/>
                <w:color w:val="000000"/>
                <w:sz w:val="16"/>
                <w:szCs w:val="16"/>
              </w:rPr>
            </w:pPr>
            <w:r w:rsidRPr="00A65462">
              <w:rPr>
                <w:color w:val="000000"/>
                <w:sz w:val="16"/>
              </w:rPr>
              <w:t>5.2</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40F9CFA" w14:textId="77777777" w:rsidR="004701F4" w:rsidRPr="00A65462" w:rsidRDefault="004701F4" w:rsidP="005621E7">
            <w:pPr>
              <w:jc w:val="right"/>
              <w:rPr>
                <w:rFonts w:cstheme="minorHAnsi"/>
                <w:color w:val="000000"/>
                <w:sz w:val="16"/>
                <w:szCs w:val="16"/>
              </w:rPr>
            </w:pPr>
            <w:r w:rsidRPr="00A65462">
              <w:rPr>
                <w:color w:val="000000"/>
                <w:sz w:val="16"/>
              </w:rPr>
              <w:t>1,770.6</w:t>
            </w:r>
          </w:p>
        </w:tc>
      </w:tr>
      <w:tr w:rsidR="004701F4" w:rsidRPr="00A65462" w14:paraId="6C611A0F"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508C5C1D" w14:textId="77777777" w:rsidR="004701F4" w:rsidRPr="00A65462" w:rsidRDefault="004701F4" w:rsidP="005621E7">
            <w:pPr>
              <w:rPr>
                <w:rFonts w:cstheme="minorHAnsi"/>
                <w:color w:val="000000"/>
                <w:sz w:val="16"/>
                <w:szCs w:val="16"/>
              </w:rPr>
            </w:pPr>
            <w:r w:rsidRPr="00A65462">
              <w:rPr>
                <w:color w:val="000000"/>
                <w:sz w:val="16"/>
              </w:rPr>
              <w:t>Hungary</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3B6B4DB" w14:textId="77777777" w:rsidR="004701F4" w:rsidRPr="00A65462" w:rsidRDefault="004701F4" w:rsidP="005621E7">
            <w:pPr>
              <w:jc w:val="right"/>
              <w:rPr>
                <w:rFonts w:cstheme="minorHAnsi"/>
                <w:color w:val="000000"/>
                <w:sz w:val="16"/>
                <w:szCs w:val="16"/>
              </w:rPr>
            </w:pPr>
            <w:r w:rsidRPr="00A65462">
              <w:rPr>
                <w:color w:val="000000"/>
                <w:sz w:val="16"/>
              </w:rPr>
              <w:t>0.7</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0344F3C1" w14:textId="77777777" w:rsidR="004701F4" w:rsidRPr="00A65462" w:rsidRDefault="004701F4" w:rsidP="005621E7">
            <w:pPr>
              <w:jc w:val="right"/>
              <w:rPr>
                <w:rFonts w:cstheme="minorHAnsi"/>
                <w:color w:val="000000"/>
                <w:sz w:val="16"/>
                <w:szCs w:val="16"/>
              </w:rPr>
            </w:pPr>
            <w:r w:rsidRPr="00A65462">
              <w:rPr>
                <w:color w:val="000000"/>
                <w:sz w:val="16"/>
              </w:rPr>
              <w:t>9,348.0</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0747DD74" w14:textId="77777777" w:rsidR="004701F4" w:rsidRPr="00A65462" w:rsidRDefault="004701F4" w:rsidP="005621E7">
            <w:pPr>
              <w:jc w:val="right"/>
              <w:rPr>
                <w:rFonts w:cstheme="minorHAnsi"/>
                <w:color w:val="000000"/>
                <w:sz w:val="16"/>
                <w:szCs w:val="16"/>
              </w:rPr>
            </w:pPr>
            <w:r w:rsidRPr="00A65462">
              <w:rPr>
                <w:color w:val="000000"/>
                <w:sz w:val="16"/>
              </w:rPr>
              <w:t>8,687.0</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B07504E" w14:textId="77777777" w:rsidR="004701F4" w:rsidRPr="00A65462" w:rsidRDefault="004701F4" w:rsidP="005621E7">
            <w:pPr>
              <w:jc w:val="right"/>
              <w:rPr>
                <w:rFonts w:cstheme="minorHAnsi"/>
                <w:color w:val="000000"/>
                <w:sz w:val="16"/>
                <w:szCs w:val="16"/>
              </w:rPr>
            </w:pPr>
            <w:r w:rsidRPr="00A65462">
              <w:rPr>
                <w:color w:val="000000"/>
                <w:sz w:val="16"/>
              </w:rPr>
              <w:t>-7.1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2A0B4C5"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A43983F" w14:textId="77777777" w:rsidR="004701F4" w:rsidRPr="00A65462" w:rsidRDefault="004701F4" w:rsidP="005621E7">
            <w:pPr>
              <w:jc w:val="right"/>
              <w:rPr>
                <w:rFonts w:cstheme="minorHAnsi"/>
                <w:color w:val="000000"/>
                <w:sz w:val="16"/>
                <w:szCs w:val="16"/>
              </w:rPr>
            </w:pPr>
            <w:r w:rsidRPr="00A65462">
              <w:rPr>
                <w:color w:val="000000"/>
                <w:sz w:val="16"/>
              </w:rPr>
              <w:t>1,910.1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E3488F2" w14:textId="77777777" w:rsidR="004701F4" w:rsidRPr="00A65462" w:rsidRDefault="004701F4" w:rsidP="005621E7">
            <w:pPr>
              <w:jc w:val="right"/>
              <w:rPr>
                <w:rFonts w:cstheme="minorHAnsi"/>
                <w:color w:val="000000"/>
                <w:sz w:val="16"/>
                <w:szCs w:val="16"/>
              </w:rPr>
            </w:pPr>
            <w:r w:rsidRPr="00A65462">
              <w:rPr>
                <w:color w:val="000000"/>
                <w:sz w:val="16"/>
              </w:rPr>
              <w:t>726.0</w:t>
            </w:r>
          </w:p>
        </w:tc>
        <w:tc>
          <w:tcPr>
            <w:tcW w:w="639" w:type="dxa"/>
            <w:tcBorders>
              <w:top w:val="nil"/>
              <w:left w:val="nil"/>
              <w:bottom w:val="single" w:sz="4" w:space="0" w:color="FFFFFF" w:themeColor="background1"/>
              <w:right w:val="nil"/>
            </w:tcBorders>
            <w:shd w:val="clear" w:color="auto" w:fill="auto"/>
            <w:noWrap/>
            <w:vAlign w:val="bottom"/>
            <w:hideMark/>
          </w:tcPr>
          <w:p w14:paraId="50768082" w14:textId="77777777" w:rsidR="004701F4" w:rsidRPr="00A65462" w:rsidRDefault="004701F4" w:rsidP="005621E7">
            <w:pPr>
              <w:jc w:val="right"/>
              <w:rPr>
                <w:rFonts w:cstheme="minorHAnsi"/>
                <w:color w:val="000000"/>
                <w:sz w:val="16"/>
                <w:szCs w:val="16"/>
              </w:rPr>
            </w:pPr>
            <w:r w:rsidRPr="00A65462">
              <w:rPr>
                <w:color w:val="000000"/>
                <w:sz w:val="16"/>
              </w:rPr>
              <w:t>-62.0</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D2CD7D6" w14:textId="77777777" w:rsidR="004701F4" w:rsidRPr="00A65462" w:rsidRDefault="004701F4" w:rsidP="005621E7">
            <w:pPr>
              <w:jc w:val="right"/>
              <w:rPr>
                <w:rFonts w:cstheme="minorHAnsi"/>
                <w:color w:val="000000"/>
                <w:sz w:val="16"/>
                <w:szCs w:val="16"/>
              </w:rPr>
            </w:pPr>
            <w:r w:rsidRPr="00A65462">
              <w:rPr>
                <w:color w:val="000000"/>
                <w:sz w:val="16"/>
              </w:rPr>
              <w:t>8.4</w:t>
            </w:r>
          </w:p>
        </w:tc>
      </w:tr>
      <w:tr w:rsidR="004701F4" w:rsidRPr="00A65462" w14:paraId="555A0203"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6431B240" w14:textId="77777777" w:rsidR="004701F4" w:rsidRPr="00A65462" w:rsidRDefault="004701F4" w:rsidP="005621E7">
            <w:pPr>
              <w:rPr>
                <w:rFonts w:cstheme="minorHAnsi"/>
                <w:color w:val="000000"/>
                <w:sz w:val="16"/>
                <w:szCs w:val="16"/>
              </w:rPr>
            </w:pPr>
            <w:r w:rsidRPr="00A65462">
              <w:rPr>
                <w:color w:val="000000"/>
                <w:sz w:val="16"/>
              </w:rPr>
              <w:t>Estonia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1902461" w14:textId="77777777" w:rsidR="004701F4" w:rsidRPr="00A65462" w:rsidRDefault="004701F4" w:rsidP="005621E7">
            <w:pPr>
              <w:jc w:val="right"/>
              <w:rPr>
                <w:rFonts w:cstheme="minorHAnsi"/>
                <w:color w:val="000000"/>
                <w:sz w:val="16"/>
                <w:szCs w:val="16"/>
              </w:rPr>
            </w:pPr>
            <w:r w:rsidRPr="00A65462">
              <w:rPr>
                <w:color w:val="000000"/>
                <w:sz w:val="16"/>
              </w:rPr>
              <w:t>0.2</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71D082FD" w14:textId="77777777" w:rsidR="004701F4" w:rsidRPr="00A65462" w:rsidRDefault="004701F4" w:rsidP="005621E7">
            <w:pPr>
              <w:jc w:val="right"/>
              <w:rPr>
                <w:rFonts w:cstheme="minorHAnsi"/>
                <w:color w:val="000000"/>
                <w:sz w:val="16"/>
                <w:szCs w:val="16"/>
              </w:rPr>
            </w:pPr>
            <w:r w:rsidRPr="00A65462">
              <w:rPr>
                <w:color w:val="000000"/>
                <w:sz w:val="16"/>
              </w:rPr>
              <w:t>842.1</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673E175F" w14:textId="77777777" w:rsidR="004701F4" w:rsidRPr="00A65462" w:rsidRDefault="004701F4" w:rsidP="005621E7">
            <w:pPr>
              <w:jc w:val="right"/>
              <w:rPr>
                <w:rFonts w:cstheme="minorHAnsi"/>
                <w:color w:val="000000"/>
                <w:sz w:val="16"/>
                <w:szCs w:val="16"/>
              </w:rPr>
            </w:pPr>
            <w:r w:rsidRPr="00A65462">
              <w:rPr>
                <w:color w:val="000000"/>
                <w:sz w:val="16"/>
              </w:rPr>
              <w:t>2,064.6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54139444" w14:textId="77777777" w:rsidR="004701F4" w:rsidRPr="00A65462" w:rsidRDefault="004701F4" w:rsidP="005621E7">
            <w:pPr>
              <w:jc w:val="right"/>
              <w:rPr>
                <w:rFonts w:cstheme="minorHAnsi"/>
                <w:color w:val="000000"/>
                <w:sz w:val="16"/>
                <w:szCs w:val="16"/>
              </w:rPr>
            </w:pPr>
            <w:r w:rsidRPr="00A65462">
              <w:rPr>
                <w:color w:val="000000"/>
                <w:sz w:val="16"/>
              </w:rPr>
              <w:t>145.2</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E2BDF1B"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41ABF96" w14:textId="77777777" w:rsidR="004701F4" w:rsidRPr="00A65462" w:rsidRDefault="004701F4" w:rsidP="005621E7">
            <w:pPr>
              <w:jc w:val="right"/>
              <w:rPr>
                <w:rFonts w:cstheme="minorHAnsi"/>
                <w:color w:val="000000"/>
                <w:sz w:val="16"/>
                <w:szCs w:val="16"/>
              </w:rPr>
            </w:pPr>
            <w:r w:rsidRPr="00A65462">
              <w:rPr>
                <w:color w:val="000000"/>
                <w:sz w:val="16"/>
              </w:rPr>
              <w:t>875.6</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134C0D9" w14:textId="77777777" w:rsidR="004701F4" w:rsidRPr="00A65462" w:rsidRDefault="004701F4" w:rsidP="005621E7">
            <w:pPr>
              <w:jc w:val="right"/>
              <w:rPr>
                <w:rFonts w:cstheme="minorHAnsi"/>
                <w:color w:val="000000"/>
                <w:sz w:val="16"/>
                <w:szCs w:val="16"/>
              </w:rPr>
            </w:pPr>
            <w:r w:rsidRPr="00A65462">
              <w:rPr>
                <w:color w:val="000000"/>
                <w:sz w:val="16"/>
              </w:rPr>
              <w:t>548.7</w:t>
            </w:r>
          </w:p>
        </w:tc>
        <w:tc>
          <w:tcPr>
            <w:tcW w:w="639" w:type="dxa"/>
            <w:tcBorders>
              <w:top w:val="nil"/>
              <w:left w:val="nil"/>
              <w:bottom w:val="single" w:sz="4" w:space="0" w:color="FFFFFF" w:themeColor="background1"/>
              <w:right w:val="nil"/>
            </w:tcBorders>
            <w:shd w:val="clear" w:color="auto" w:fill="auto"/>
            <w:noWrap/>
            <w:vAlign w:val="bottom"/>
            <w:hideMark/>
          </w:tcPr>
          <w:p w14:paraId="6FD71920" w14:textId="77777777" w:rsidR="004701F4" w:rsidRPr="00A65462" w:rsidRDefault="004701F4" w:rsidP="005621E7">
            <w:pPr>
              <w:jc w:val="right"/>
              <w:rPr>
                <w:rFonts w:cstheme="minorHAnsi"/>
                <w:color w:val="000000"/>
                <w:sz w:val="16"/>
                <w:szCs w:val="16"/>
              </w:rPr>
            </w:pPr>
            <w:r w:rsidRPr="00A65462">
              <w:rPr>
                <w:color w:val="000000"/>
                <w:sz w:val="16"/>
              </w:rPr>
              <w:t>-37.3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9EBC7BA" w14:textId="77777777" w:rsidR="004701F4" w:rsidRPr="00A65462" w:rsidRDefault="004701F4" w:rsidP="005621E7">
            <w:pPr>
              <w:jc w:val="right"/>
              <w:rPr>
                <w:rFonts w:cstheme="minorHAnsi"/>
                <w:color w:val="000000"/>
                <w:sz w:val="16"/>
                <w:szCs w:val="16"/>
              </w:rPr>
            </w:pPr>
            <w:r w:rsidRPr="00A65462">
              <w:rPr>
                <w:color w:val="000000"/>
                <w:sz w:val="16"/>
              </w:rPr>
              <w:t>26.6</w:t>
            </w:r>
          </w:p>
        </w:tc>
      </w:tr>
      <w:tr w:rsidR="004701F4" w:rsidRPr="00A65462" w14:paraId="47376D2C"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790C05F4" w14:textId="77777777" w:rsidR="004701F4" w:rsidRPr="00A65462" w:rsidRDefault="004701F4" w:rsidP="005621E7">
            <w:pPr>
              <w:rPr>
                <w:rFonts w:cstheme="minorHAnsi"/>
                <w:color w:val="000000"/>
                <w:sz w:val="16"/>
                <w:szCs w:val="16"/>
              </w:rPr>
            </w:pPr>
            <w:r w:rsidRPr="00A65462">
              <w:rPr>
                <w:color w:val="000000"/>
                <w:sz w:val="16"/>
              </w:rPr>
              <w:t>Cyprus</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D4D4BD0"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7962533C" w14:textId="77777777" w:rsidR="004701F4" w:rsidRPr="00A65462" w:rsidRDefault="004701F4" w:rsidP="005621E7">
            <w:pPr>
              <w:jc w:val="right"/>
              <w:rPr>
                <w:rFonts w:cstheme="minorHAnsi"/>
                <w:color w:val="000000"/>
                <w:sz w:val="16"/>
                <w:szCs w:val="16"/>
              </w:rPr>
            </w:pPr>
            <w:r w:rsidRPr="00A65462">
              <w:rPr>
                <w:color w:val="000000"/>
                <w:sz w:val="16"/>
              </w:rPr>
              <w:t>3.6</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4C201B7C"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06CB331A" w14:textId="77777777" w:rsidR="004701F4" w:rsidRPr="00A65462" w:rsidRDefault="004701F4" w:rsidP="005621E7">
            <w:pPr>
              <w:jc w:val="right"/>
              <w:rPr>
                <w:rFonts w:cstheme="minorHAnsi"/>
                <w:color w:val="000000"/>
                <w:sz w:val="16"/>
                <w:szCs w:val="16"/>
              </w:rPr>
            </w:pPr>
            <w:r w:rsidRPr="00A65462">
              <w:rPr>
                <w:color w:val="000000"/>
                <w:sz w:val="16"/>
              </w:rPr>
              <w:t>-98.4</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C7411C3" w14:textId="77777777" w:rsidR="004701F4" w:rsidRPr="00A65462" w:rsidRDefault="004701F4" w:rsidP="005621E7">
            <w:pPr>
              <w:jc w:val="right"/>
              <w:rPr>
                <w:rFonts w:cstheme="minorHAnsi"/>
                <w:color w:val="000000"/>
                <w:sz w:val="16"/>
                <w:szCs w:val="16"/>
              </w:rPr>
            </w:pPr>
            <w:r w:rsidRPr="00A65462">
              <w:rPr>
                <w:color w:val="000000"/>
                <w:sz w:val="16"/>
              </w:rPr>
              <w:t>0.3</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BDA2AD9" w14:textId="77777777" w:rsidR="004701F4" w:rsidRPr="00A65462" w:rsidRDefault="004701F4" w:rsidP="005621E7">
            <w:pPr>
              <w:jc w:val="right"/>
              <w:rPr>
                <w:rFonts w:cstheme="minorHAnsi"/>
                <w:color w:val="000000"/>
                <w:sz w:val="16"/>
                <w:szCs w:val="16"/>
              </w:rPr>
            </w:pPr>
            <w:r w:rsidRPr="00A65462">
              <w:rPr>
                <w:color w:val="000000"/>
                <w:sz w:val="16"/>
              </w:rPr>
              <w:t>876.7</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BAAABD7" w14:textId="77777777" w:rsidR="004701F4" w:rsidRPr="00A65462" w:rsidRDefault="004701F4" w:rsidP="005621E7">
            <w:pPr>
              <w:jc w:val="right"/>
              <w:rPr>
                <w:rFonts w:cstheme="minorHAnsi"/>
                <w:color w:val="000000"/>
                <w:sz w:val="16"/>
                <w:szCs w:val="16"/>
              </w:rPr>
            </w:pPr>
            <w:r w:rsidRPr="00A65462">
              <w:rPr>
                <w:color w:val="000000"/>
                <w:sz w:val="16"/>
              </w:rPr>
              <w:t>2,193.5</w:t>
            </w:r>
          </w:p>
        </w:tc>
        <w:tc>
          <w:tcPr>
            <w:tcW w:w="639" w:type="dxa"/>
            <w:tcBorders>
              <w:top w:val="nil"/>
              <w:left w:val="nil"/>
              <w:bottom w:val="single" w:sz="4" w:space="0" w:color="FFFFFF" w:themeColor="background1"/>
              <w:right w:val="nil"/>
            </w:tcBorders>
            <w:shd w:val="clear" w:color="auto" w:fill="auto"/>
            <w:noWrap/>
            <w:vAlign w:val="bottom"/>
            <w:hideMark/>
          </w:tcPr>
          <w:p w14:paraId="2D8F04E3" w14:textId="77777777" w:rsidR="004701F4" w:rsidRPr="00A65462" w:rsidRDefault="004701F4" w:rsidP="005621E7">
            <w:pPr>
              <w:jc w:val="right"/>
              <w:rPr>
                <w:rFonts w:cstheme="minorHAnsi"/>
                <w:color w:val="000000"/>
                <w:sz w:val="16"/>
                <w:szCs w:val="16"/>
              </w:rPr>
            </w:pPr>
            <w:r w:rsidRPr="00A65462">
              <w:rPr>
                <w:color w:val="000000"/>
                <w:sz w:val="16"/>
              </w:rPr>
              <w:t>150.2</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2BB51A1" w14:textId="77777777" w:rsidR="004701F4" w:rsidRPr="00A65462" w:rsidRDefault="004701F4" w:rsidP="005621E7">
            <w:pPr>
              <w:jc w:val="right"/>
              <w:rPr>
                <w:rFonts w:cstheme="minorHAnsi"/>
                <w:color w:val="000000"/>
                <w:sz w:val="16"/>
                <w:szCs w:val="16"/>
              </w:rPr>
            </w:pPr>
            <w:r w:rsidRPr="00A65462">
              <w:rPr>
                <w:color w:val="000000"/>
                <w:sz w:val="16"/>
              </w:rPr>
              <w:t>3,916.912.5</w:t>
            </w:r>
          </w:p>
        </w:tc>
      </w:tr>
      <w:tr w:rsidR="004701F4" w:rsidRPr="00A65462" w14:paraId="22BC5F29"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3464091A" w14:textId="77777777" w:rsidR="004701F4" w:rsidRPr="00A65462" w:rsidRDefault="004701F4" w:rsidP="005621E7">
            <w:pPr>
              <w:rPr>
                <w:rFonts w:cstheme="minorHAnsi"/>
                <w:color w:val="000000"/>
                <w:sz w:val="16"/>
                <w:szCs w:val="16"/>
              </w:rPr>
            </w:pPr>
            <w:r w:rsidRPr="00A65462">
              <w:rPr>
                <w:color w:val="000000"/>
                <w:sz w:val="16"/>
              </w:rPr>
              <w:t>Slovakia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CBDF54C"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1E78500F" w14:textId="77777777" w:rsidR="004701F4" w:rsidRPr="00A65462" w:rsidRDefault="004701F4" w:rsidP="005621E7">
            <w:pPr>
              <w:jc w:val="right"/>
              <w:rPr>
                <w:rFonts w:cstheme="minorHAnsi"/>
                <w:color w:val="000000"/>
                <w:sz w:val="16"/>
                <w:szCs w:val="16"/>
              </w:rPr>
            </w:pPr>
            <w:r w:rsidRPr="00A65462">
              <w:rPr>
                <w:color w:val="000000"/>
                <w:sz w:val="16"/>
              </w:rPr>
              <w:t>3,088.4</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08A41536" w14:textId="77777777" w:rsidR="004701F4" w:rsidRPr="00A65462" w:rsidRDefault="004701F4" w:rsidP="005621E7">
            <w:pPr>
              <w:jc w:val="right"/>
              <w:rPr>
                <w:rFonts w:cstheme="minorHAnsi"/>
                <w:color w:val="000000"/>
                <w:sz w:val="16"/>
                <w:szCs w:val="16"/>
              </w:rPr>
            </w:pPr>
            <w:r w:rsidRPr="00A65462">
              <w:rPr>
                <w:color w:val="000000"/>
                <w:sz w:val="16"/>
              </w:rPr>
              <w:t>951.5</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19CE7037" w14:textId="77777777" w:rsidR="004701F4" w:rsidRPr="00A65462" w:rsidRDefault="004701F4" w:rsidP="005621E7">
            <w:pPr>
              <w:jc w:val="right"/>
              <w:rPr>
                <w:rFonts w:cstheme="minorHAnsi"/>
                <w:color w:val="000000"/>
                <w:sz w:val="16"/>
                <w:szCs w:val="16"/>
              </w:rPr>
            </w:pPr>
            <w:r w:rsidRPr="00A65462">
              <w:rPr>
                <w:color w:val="000000"/>
                <w:sz w:val="16"/>
              </w:rPr>
              <w:t>-69.2</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FB3BF48"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DBDE3B4" w14:textId="77777777" w:rsidR="004701F4" w:rsidRPr="00A65462" w:rsidRDefault="004701F4" w:rsidP="005621E7">
            <w:pPr>
              <w:jc w:val="right"/>
              <w:rPr>
                <w:rFonts w:cstheme="minorHAnsi"/>
                <w:color w:val="000000"/>
                <w:sz w:val="16"/>
                <w:szCs w:val="16"/>
              </w:rPr>
            </w:pPr>
            <w:r w:rsidRPr="00A65462">
              <w:rPr>
                <w:color w:val="000000"/>
                <w:sz w:val="16"/>
              </w:rPr>
              <w:t>857.7</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8D5533A" w14:textId="77777777" w:rsidR="004701F4" w:rsidRPr="00A65462" w:rsidRDefault="004701F4" w:rsidP="005621E7">
            <w:pPr>
              <w:jc w:val="right"/>
              <w:rPr>
                <w:rFonts w:cstheme="minorHAnsi"/>
                <w:color w:val="000000"/>
                <w:sz w:val="16"/>
                <w:szCs w:val="16"/>
              </w:rPr>
            </w:pPr>
            <w:r w:rsidRPr="00A65462">
              <w:rPr>
                <w:color w:val="000000"/>
                <w:sz w:val="16"/>
              </w:rPr>
              <w:t>841.7</w:t>
            </w:r>
          </w:p>
        </w:tc>
        <w:tc>
          <w:tcPr>
            <w:tcW w:w="639" w:type="dxa"/>
            <w:tcBorders>
              <w:top w:val="nil"/>
              <w:left w:val="nil"/>
              <w:bottom w:val="single" w:sz="4" w:space="0" w:color="FFFFFF" w:themeColor="background1"/>
              <w:right w:val="nil"/>
            </w:tcBorders>
            <w:shd w:val="clear" w:color="auto" w:fill="auto"/>
            <w:noWrap/>
            <w:vAlign w:val="bottom"/>
            <w:hideMark/>
          </w:tcPr>
          <w:p w14:paraId="7AE67B95" w14:textId="77777777" w:rsidR="004701F4" w:rsidRPr="00A65462" w:rsidRDefault="004701F4" w:rsidP="005621E7">
            <w:pPr>
              <w:jc w:val="right"/>
              <w:rPr>
                <w:rFonts w:cstheme="minorHAnsi"/>
                <w:color w:val="000000"/>
                <w:sz w:val="16"/>
                <w:szCs w:val="16"/>
              </w:rPr>
            </w:pPr>
            <w:r w:rsidRPr="00A65462">
              <w:rPr>
                <w:color w:val="000000"/>
                <w:sz w:val="16"/>
              </w:rPr>
              <w:t>-1.9</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7200713" w14:textId="77777777" w:rsidR="004701F4" w:rsidRPr="00A65462" w:rsidRDefault="004701F4" w:rsidP="005621E7">
            <w:pPr>
              <w:jc w:val="right"/>
              <w:rPr>
                <w:rFonts w:cstheme="minorHAnsi"/>
                <w:color w:val="000000"/>
                <w:sz w:val="16"/>
                <w:szCs w:val="16"/>
              </w:rPr>
            </w:pPr>
            <w:r w:rsidRPr="00A65462">
              <w:rPr>
                <w:color w:val="000000"/>
                <w:sz w:val="16"/>
              </w:rPr>
              <w:t>88.5</w:t>
            </w:r>
          </w:p>
        </w:tc>
      </w:tr>
      <w:tr w:rsidR="004701F4" w:rsidRPr="00A65462" w14:paraId="17CB2B3F"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2F9B7A18" w14:textId="77777777" w:rsidR="004701F4" w:rsidRPr="00A65462" w:rsidRDefault="004701F4" w:rsidP="005621E7">
            <w:pPr>
              <w:rPr>
                <w:rFonts w:cstheme="minorHAnsi"/>
                <w:color w:val="000000"/>
                <w:sz w:val="16"/>
                <w:szCs w:val="16"/>
              </w:rPr>
            </w:pPr>
            <w:r w:rsidRPr="00A65462">
              <w:rPr>
                <w:color w:val="000000"/>
                <w:sz w:val="16"/>
              </w:rPr>
              <w:t>Finland</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AA7A828" w14:textId="77777777" w:rsidR="004701F4" w:rsidRPr="00A65462" w:rsidRDefault="004701F4" w:rsidP="005621E7">
            <w:pPr>
              <w:jc w:val="right"/>
              <w:rPr>
                <w:rFonts w:cstheme="minorHAnsi"/>
                <w:color w:val="000000"/>
                <w:sz w:val="16"/>
                <w:szCs w:val="16"/>
              </w:rPr>
            </w:pPr>
            <w:r w:rsidRPr="00A65462">
              <w:rPr>
                <w:color w:val="000000"/>
                <w:sz w:val="16"/>
              </w:rPr>
              <w:t>0.4</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0CEB04A4" w14:textId="77777777" w:rsidR="004701F4" w:rsidRPr="00A65462" w:rsidRDefault="004701F4" w:rsidP="005621E7">
            <w:pPr>
              <w:jc w:val="right"/>
              <w:rPr>
                <w:rFonts w:cstheme="minorHAnsi"/>
                <w:color w:val="000000"/>
                <w:sz w:val="16"/>
                <w:szCs w:val="16"/>
              </w:rPr>
            </w:pPr>
            <w:r w:rsidRPr="00A65462">
              <w:rPr>
                <w:color w:val="000000"/>
                <w:sz w:val="16"/>
              </w:rPr>
              <w:t>5,002.2</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2F1DAFAB" w14:textId="77777777" w:rsidR="004701F4" w:rsidRPr="00A65462" w:rsidRDefault="004701F4" w:rsidP="005621E7">
            <w:pPr>
              <w:jc w:val="right"/>
              <w:rPr>
                <w:rFonts w:cstheme="minorHAnsi"/>
                <w:color w:val="000000"/>
                <w:sz w:val="16"/>
                <w:szCs w:val="16"/>
              </w:rPr>
            </w:pPr>
            <w:r w:rsidRPr="00A65462">
              <w:rPr>
                <w:color w:val="000000"/>
                <w:sz w:val="16"/>
              </w:rPr>
              <w:t>5,076.2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0E8ED6B" w14:textId="77777777" w:rsidR="004701F4" w:rsidRPr="00A65462" w:rsidRDefault="004701F4" w:rsidP="005621E7">
            <w:pPr>
              <w:jc w:val="right"/>
              <w:rPr>
                <w:rFonts w:cstheme="minorHAnsi"/>
                <w:color w:val="000000"/>
                <w:sz w:val="16"/>
                <w:szCs w:val="16"/>
              </w:rPr>
            </w:pPr>
            <w:r w:rsidRPr="00A65462">
              <w:rPr>
                <w:color w:val="000000"/>
                <w:sz w:val="16"/>
              </w:rPr>
              <w:t>1.5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2E8E17D"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B1F340D" w14:textId="77777777" w:rsidR="004701F4" w:rsidRPr="00A65462" w:rsidRDefault="004701F4" w:rsidP="005621E7">
            <w:pPr>
              <w:jc w:val="right"/>
              <w:rPr>
                <w:rFonts w:cstheme="minorHAnsi"/>
                <w:color w:val="000000"/>
                <w:sz w:val="16"/>
                <w:szCs w:val="16"/>
              </w:rPr>
            </w:pPr>
            <w:r w:rsidRPr="00A65462">
              <w:rPr>
                <w:color w:val="000000"/>
                <w:sz w:val="16"/>
              </w:rPr>
              <w:t>853.3</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71CC70A" w14:textId="77777777" w:rsidR="004701F4" w:rsidRPr="00A65462" w:rsidRDefault="004701F4" w:rsidP="005621E7">
            <w:pPr>
              <w:jc w:val="right"/>
              <w:rPr>
                <w:rFonts w:cstheme="minorHAnsi"/>
                <w:color w:val="000000"/>
                <w:sz w:val="16"/>
                <w:szCs w:val="16"/>
              </w:rPr>
            </w:pPr>
            <w:r w:rsidRPr="00A65462">
              <w:rPr>
                <w:color w:val="000000"/>
                <w:sz w:val="16"/>
              </w:rPr>
              <w:t>773.8</w:t>
            </w:r>
          </w:p>
        </w:tc>
        <w:tc>
          <w:tcPr>
            <w:tcW w:w="639" w:type="dxa"/>
            <w:tcBorders>
              <w:top w:val="nil"/>
              <w:left w:val="nil"/>
              <w:bottom w:val="single" w:sz="4" w:space="0" w:color="FFFFFF" w:themeColor="background1"/>
              <w:right w:val="nil"/>
            </w:tcBorders>
            <w:shd w:val="clear" w:color="auto" w:fill="auto"/>
            <w:noWrap/>
            <w:vAlign w:val="bottom"/>
            <w:hideMark/>
          </w:tcPr>
          <w:p w14:paraId="060CAF31" w14:textId="77777777" w:rsidR="004701F4" w:rsidRPr="00A65462" w:rsidRDefault="004701F4" w:rsidP="005621E7">
            <w:pPr>
              <w:jc w:val="right"/>
              <w:rPr>
                <w:rFonts w:cstheme="minorHAnsi"/>
                <w:color w:val="000000"/>
                <w:sz w:val="16"/>
                <w:szCs w:val="16"/>
              </w:rPr>
            </w:pPr>
            <w:r w:rsidRPr="00A65462">
              <w:rPr>
                <w:color w:val="000000"/>
                <w:sz w:val="16"/>
              </w:rPr>
              <w:t>-9.3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FA99523" w14:textId="77777777" w:rsidR="004701F4" w:rsidRPr="00A65462" w:rsidRDefault="004701F4" w:rsidP="005621E7">
            <w:pPr>
              <w:jc w:val="right"/>
              <w:rPr>
                <w:rFonts w:cstheme="minorHAnsi"/>
                <w:color w:val="000000"/>
                <w:sz w:val="16"/>
                <w:szCs w:val="16"/>
              </w:rPr>
            </w:pPr>
            <w:r w:rsidRPr="00A65462">
              <w:rPr>
                <w:color w:val="000000"/>
                <w:sz w:val="16"/>
              </w:rPr>
              <w:t>15.2</w:t>
            </w:r>
          </w:p>
        </w:tc>
      </w:tr>
      <w:tr w:rsidR="004701F4" w:rsidRPr="00A65462" w14:paraId="6C031032"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6846C6F5" w14:textId="77777777" w:rsidR="004701F4" w:rsidRPr="00A65462" w:rsidRDefault="004701F4" w:rsidP="005621E7">
            <w:pPr>
              <w:rPr>
                <w:rFonts w:cstheme="minorHAnsi"/>
                <w:color w:val="000000"/>
                <w:sz w:val="16"/>
                <w:szCs w:val="16"/>
              </w:rPr>
            </w:pPr>
            <w:r w:rsidRPr="00A65462">
              <w:rPr>
                <w:color w:val="000000"/>
                <w:sz w:val="16"/>
              </w:rPr>
              <w:t>Malta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E4B923F"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343674A5" w14:textId="77777777" w:rsidR="004701F4" w:rsidRPr="00A65462" w:rsidRDefault="004701F4" w:rsidP="005621E7">
            <w:pPr>
              <w:jc w:val="right"/>
              <w:rPr>
                <w:rFonts w:cstheme="minorHAnsi"/>
                <w:color w:val="000000"/>
                <w:sz w:val="16"/>
                <w:szCs w:val="16"/>
              </w:rPr>
            </w:pPr>
            <w:r w:rsidRPr="00A65462">
              <w:rPr>
                <w:color w:val="000000"/>
                <w:sz w:val="16"/>
              </w:rPr>
              <w:t>5.5</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2825BE3A" w14:textId="77777777" w:rsidR="004701F4" w:rsidRPr="00A65462" w:rsidRDefault="004701F4" w:rsidP="005621E7">
            <w:pPr>
              <w:jc w:val="right"/>
              <w:rPr>
                <w:rFonts w:cstheme="minorHAnsi"/>
                <w:color w:val="000000"/>
                <w:sz w:val="16"/>
                <w:szCs w:val="16"/>
              </w:rPr>
            </w:pPr>
            <w:r w:rsidRPr="00A65462">
              <w:rPr>
                <w:color w:val="000000"/>
                <w:sz w:val="16"/>
              </w:rPr>
              <w:t>2.1</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4AFF7A35" w14:textId="77777777" w:rsidR="004701F4" w:rsidRPr="00A65462" w:rsidRDefault="004701F4" w:rsidP="005621E7">
            <w:pPr>
              <w:jc w:val="right"/>
              <w:rPr>
                <w:rFonts w:cstheme="minorHAnsi"/>
                <w:color w:val="000000"/>
                <w:sz w:val="16"/>
                <w:szCs w:val="16"/>
              </w:rPr>
            </w:pPr>
            <w:r w:rsidRPr="00A65462">
              <w:rPr>
                <w:color w:val="000000"/>
                <w:sz w:val="16"/>
              </w:rPr>
              <w:t>-62.0</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6001381"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BF903F3" w14:textId="77777777" w:rsidR="004701F4" w:rsidRPr="00A65462" w:rsidRDefault="004701F4" w:rsidP="005621E7">
            <w:pPr>
              <w:jc w:val="right"/>
              <w:rPr>
                <w:rFonts w:cstheme="minorHAnsi"/>
                <w:color w:val="000000"/>
                <w:sz w:val="16"/>
                <w:szCs w:val="16"/>
              </w:rPr>
            </w:pPr>
            <w:r w:rsidRPr="00A65462">
              <w:rPr>
                <w:color w:val="000000"/>
                <w:sz w:val="16"/>
              </w:rPr>
              <w:t>566.5</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B192AB6" w14:textId="77777777" w:rsidR="004701F4" w:rsidRPr="00A65462" w:rsidRDefault="004701F4" w:rsidP="005621E7">
            <w:pPr>
              <w:jc w:val="right"/>
              <w:rPr>
                <w:rFonts w:cstheme="minorHAnsi"/>
                <w:color w:val="000000"/>
                <w:sz w:val="16"/>
                <w:szCs w:val="16"/>
              </w:rPr>
            </w:pPr>
            <w:r w:rsidRPr="00A65462">
              <w:rPr>
                <w:color w:val="000000"/>
                <w:sz w:val="16"/>
              </w:rPr>
              <w:t>361.5</w:t>
            </w:r>
          </w:p>
        </w:tc>
        <w:tc>
          <w:tcPr>
            <w:tcW w:w="639" w:type="dxa"/>
            <w:tcBorders>
              <w:top w:val="nil"/>
              <w:left w:val="nil"/>
              <w:bottom w:val="single" w:sz="4" w:space="0" w:color="FFFFFF" w:themeColor="background1"/>
              <w:right w:val="nil"/>
            </w:tcBorders>
            <w:shd w:val="clear" w:color="auto" w:fill="auto"/>
            <w:noWrap/>
            <w:vAlign w:val="bottom"/>
            <w:hideMark/>
          </w:tcPr>
          <w:p w14:paraId="3F88731D" w14:textId="77777777" w:rsidR="004701F4" w:rsidRPr="00A65462" w:rsidRDefault="004701F4" w:rsidP="005621E7">
            <w:pPr>
              <w:jc w:val="right"/>
              <w:rPr>
                <w:rFonts w:cstheme="minorHAnsi"/>
                <w:color w:val="000000"/>
                <w:sz w:val="16"/>
                <w:szCs w:val="16"/>
              </w:rPr>
            </w:pPr>
            <w:r w:rsidRPr="00A65462">
              <w:rPr>
                <w:color w:val="000000"/>
                <w:sz w:val="16"/>
              </w:rPr>
              <w:t>-36.2</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0B5080F" w14:textId="77777777" w:rsidR="004701F4" w:rsidRPr="00A65462" w:rsidRDefault="004701F4" w:rsidP="005621E7">
            <w:pPr>
              <w:jc w:val="right"/>
              <w:rPr>
                <w:rFonts w:cstheme="minorHAnsi"/>
                <w:color w:val="000000"/>
                <w:sz w:val="16"/>
                <w:szCs w:val="16"/>
              </w:rPr>
            </w:pPr>
            <w:r w:rsidRPr="00A65462">
              <w:rPr>
                <w:color w:val="000000"/>
                <w:sz w:val="16"/>
              </w:rPr>
              <w:t>17,363.1</w:t>
            </w:r>
          </w:p>
        </w:tc>
      </w:tr>
      <w:tr w:rsidR="004701F4" w:rsidRPr="00A65462" w14:paraId="3EFFAF84"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4C914BF8" w14:textId="77777777" w:rsidR="004701F4" w:rsidRPr="00A65462" w:rsidRDefault="004701F4" w:rsidP="005621E7">
            <w:pPr>
              <w:rPr>
                <w:rFonts w:cstheme="minorHAnsi"/>
                <w:color w:val="000000"/>
                <w:sz w:val="16"/>
                <w:szCs w:val="16"/>
              </w:rPr>
            </w:pPr>
            <w:r w:rsidRPr="00A65462">
              <w:rPr>
                <w:color w:val="000000"/>
                <w:sz w:val="16"/>
              </w:rPr>
              <w:t>Slovenia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D1C4208"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401E1E0C" w14:textId="77777777" w:rsidR="004701F4" w:rsidRPr="00A65462" w:rsidRDefault="004701F4" w:rsidP="005621E7">
            <w:pPr>
              <w:jc w:val="right"/>
              <w:rPr>
                <w:rFonts w:cstheme="minorHAnsi"/>
                <w:color w:val="000000"/>
                <w:sz w:val="16"/>
                <w:szCs w:val="16"/>
              </w:rPr>
            </w:pPr>
            <w:r w:rsidRPr="00A65462">
              <w:rPr>
                <w:color w:val="000000"/>
                <w:sz w:val="16"/>
              </w:rPr>
              <w:t>498.3</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5E7396FD" w14:textId="77777777" w:rsidR="004701F4" w:rsidRPr="00A65462" w:rsidRDefault="004701F4" w:rsidP="005621E7">
            <w:pPr>
              <w:jc w:val="right"/>
              <w:rPr>
                <w:rFonts w:cstheme="minorHAnsi"/>
                <w:color w:val="000000"/>
                <w:sz w:val="16"/>
                <w:szCs w:val="16"/>
              </w:rPr>
            </w:pPr>
            <w:r w:rsidRPr="00A65462">
              <w:rPr>
                <w:color w:val="000000"/>
                <w:sz w:val="16"/>
              </w:rPr>
              <w:t>640.8</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13743F94" w14:textId="77777777" w:rsidR="004701F4" w:rsidRPr="00A65462" w:rsidRDefault="004701F4" w:rsidP="005621E7">
            <w:pPr>
              <w:jc w:val="right"/>
              <w:rPr>
                <w:rFonts w:cstheme="minorHAnsi"/>
                <w:color w:val="000000"/>
                <w:sz w:val="16"/>
                <w:szCs w:val="16"/>
              </w:rPr>
            </w:pPr>
            <w:r w:rsidRPr="00A65462">
              <w:rPr>
                <w:color w:val="000000"/>
                <w:sz w:val="16"/>
              </w:rPr>
              <w:t>28.6</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DB7D82B"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0ECEDCB" w14:textId="77777777" w:rsidR="004701F4" w:rsidRPr="00A65462" w:rsidRDefault="004701F4" w:rsidP="005621E7">
            <w:pPr>
              <w:jc w:val="right"/>
              <w:rPr>
                <w:rFonts w:cstheme="minorHAnsi"/>
                <w:color w:val="000000"/>
                <w:sz w:val="16"/>
                <w:szCs w:val="16"/>
              </w:rPr>
            </w:pPr>
            <w:r w:rsidRPr="00A65462">
              <w:rPr>
                <w:color w:val="000000"/>
                <w:sz w:val="16"/>
              </w:rPr>
              <w:t>502.3</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C6B6E78" w14:textId="77777777" w:rsidR="004701F4" w:rsidRPr="00A65462" w:rsidRDefault="004701F4" w:rsidP="005621E7">
            <w:pPr>
              <w:jc w:val="right"/>
              <w:rPr>
                <w:rFonts w:cstheme="minorHAnsi"/>
                <w:color w:val="000000"/>
                <w:sz w:val="16"/>
                <w:szCs w:val="16"/>
              </w:rPr>
            </w:pPr>
            <w:r w:rsidRPr="00A65462">
              <w:rPr>
                <w:color w:val="000000"/>
                <w:sz w:val="16"/>
              </w:rPr>
              <w:t>351.8</w:t>
            </w:r>
          </w:p>
        </w:tc>
        <w:tc>
          <w:tcPr>
            <w:tcW w:w="639" w:type="dxa"/>
            <w:tcBorders>
              <w:top w:val="nil"/>
              <w:left w:val="nil"/>
              <w:bottom w:val="single" w:sz="4" w:space="0" w:color="FFFFFF" w:themeColor="background1"/>
              <w:right w:val="nil"/>
            </w:tcBorders>
            <w:shd w:val="clear" w:color="auto" w:fill="auto"/>
            <w:noWrap/>
            <w:vAlign w:val="bottom"/>
            <w:hideMark/>
          </w:tcPr>
          <w:p w14:paraId="2079D6C0" w14:textId="77777777" w:rsidR="004701F4" w:rsidRPr="00A65462" w:rsidRDefault="004701F4" w:rsidP="005621E7">
            <w:pPr>
              <w:jc w:val="right"/>
              <w:rPr>
                <w:rFonts w:cstheme="minorHAnsi"/>
                <w:color w:val="000000"/>
                <w:sz w:val="16"/>
                <w:szCs w:val="16"/>
              </w:rPr>
            </w:pPr>
            <w:r w:rsidRPr="00A65462">
              <w:rPr>
                <w:color w:val="000000"/>
                <w:sz w:val="16"/>
              </w:rPr>
              <w:t>-30.0</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D303F77" w14:textId="77777777" w:rsidR="004701F4" w:rsidRPr="00A65462" w:rsidRDefault="004701F4" w:rsidP="005621E7">
            <w:pPr>
              <w:jc w:val="right"/>
              <w:rPr>
                <w:rFonts w:cstheme="minorHAnsi"/>
                <w:color w:val="000000"/>
                <w:sz w:val="16"/>
                <w:szCs w:val="16"/>
              </w:rPr>
            </w:pPr>
            <w:r w:rsidRPr="00A65462">
              <w:rPr>
                <w:color w:val="000000"/>
                <w:sz w:val="16"/>
              </w:rPr>
              <w:t>54.9</w:t>
            </w:r>
          </w:p>
        </w:tc>
      </w:tr>
      <w:tr w:rsidR="004701F4" w:rsidRPr="00A65462" w14:paraId="1683073D"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71FD3B62" w14:textId="77777777" w:rsidR="004701F4" w:rsidRPr="00A65462" w:rsidRDefault="004701F4" w:rsidP="005621E7">
            <w:pPr>
              <w:rPr>
                <w:rFonts w:cstheme="minorHAnsi"/>
                <w:color w:val="000000"/>
                <w:sz w:val="16"/>
                <w:szCs w:val="16"/>
              </w:rPr>
            </w:pPr>
            <w:r w:rsidRPr="00A65462">
              <w:rPr>
                <w:color w:val="000000"/>
                <w:sz w:val="16"/>
              </w:rPr>
              <w:t>Croatia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ADC160A"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084645CB" w14:textId="77777777" w:rsidR="004701F4" w:rsidRPr="00A65462" w:rsidRDefault="004701F4" w:rsidP="005621E7">
            <w:pPr>
              <w:jc w:val="right"/>
              <w:rPr>
                <w:rFonts w:cstheme="minorHAnsi"/>
                <w:color w:val="000000"/>
                <w:sz w:val="16"/>
                <w:szCs w:val="16"/>
              </w:rPr>
            </w:pPr>
            <w:r w:rsidRPr="00A65462">
              <w:rPr>
                <w:color w:val="000000"/>
                <w:sz w:val="16"/>
              </w:rPr>
              <w:t>728.2</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0AF02D27" w14:textId="77777777" w:rsidR="004701F4" w:rsidRPr="00A65462" w:rsidRDefault="004701F4" w:rsidP="005621E7">
            <w:pPr>
              <w:jc w:val="right"/>
              <w:rPr>
                <w:rFonts w:cstheme="minorHAnsi"/>
                <w:color w:val="000000"/>
                <w:sz w:val="16"/>
                <w:szCs w:val="16"/>
              </w:rPr>
            </w:pPr>
            <w:r w:rsidRPr="00A65462">
              <w:rPr>
                <w:color w:val="000000"/>
                <w:sz w:val="16"/>
              </w:rPr>
              <w:t>950.3</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B00F1AF" w14:textId="77777777" w:rsidR="004701F4" w:rsidRPr="00A65462" w:rsidRDefault="004701F4" w:rsidP="005621E7">
            <w:pPr>
              <w:jc w:val="right"/>
              <w:rPr>
                <w:rFonts w:cstheme="minorHAnsi"/>
                <w:color w:val="000000"/>
                <w:sz w:val="16"/>
                <w:szCs w:val="16"/>
              </w:rPr>
            </w:pPr>
            <w:r w:rsidRPr="00A65462">
              <w:rPr>
                <w:color w:val="000000"/>
                <w:sz w:val="16"/>
              </w:rPr>
              <w:t>30.5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E44891D"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64CDC67" w14:textId="77777777" w:rsidR="004701F4" w:rsidRPr="00A65462" w:rsidRDefault="004701F4" w:rsidP="005621E7">
            <w:pPr>
              <w:jc w:val="right"/>
              <w:rPr>
                <w:rFonts w:cstheme="minorHAnsi"/>
                <w:color w:val="000000"/>
                <w:sz w:val="16"/>
                <w:szCs w:val="16"/>
              </w:rPr>
            </w:pPr>
            <w:r w:rsidRPr="00A65462">
              <w:rPr>
                <w:color w:val="000000"/>
                <w:sz w:val="16"/>
              </w:rPr>
              <w:t>429.1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DB01E1B" w14:textId="77777777" w:rsidR="004701F4" w:rsidRPr="00A65462" w:rsidRDefault="004701F4" w:rsidP="005621E7">
            <w:pPr>
              <w:jc w:val="right"/>
              <w:rPr>
                <w:rFonts w:cstheme="minorHAnsi"/>
                <w:color w:val="000000"/>
                <w:sz w:val="16"/>
                <w:szCs w:val="16"/>
              </w:rPr>
            </w:pPr>
            <w:r w:rsidRPr="00A65462">
              <w:rPr>
                <w:color w:val="000000"/>
                <w:sz w:val="16"/>
              </w:rPr>
              <w:t>469.0</w:t>
            </w:r>
          </w:p>
        </w:tc>
        <w:tc>
          <w:tcPr>
            <w:tcW w:w="639" w:type="dxa"/>
            <w:tcBorders>
              <w:top w:val="nil"/>
              <w:left w:val="nil"/>
              <w:bottom w:val="single" w:sz="4" w:space="0" w:color="FFFFFF" w:themeColor="background1"/>
              <w:right w:val="nil"/>
            </w:tcBorders>
            <w:shd w:val="clear" w:color="auto" w:fill="auto"/>
            <w:noWrap/>
            <w:vAlign w:val="bottom"/>
            <w:hideMark/>
          </w:tcPr>
          <w:p w14:paraId="087FBE9D" w14:textId="77777777" w:rsidR="004701F4" w:rsidRPr="00A65462" w:rsidRDefault="004701F4" w:rsidP="005621E7">
            <w:pPr>
              <w:jc w:val="right"/>
              <w:rPr>
                <w:rFonts w:cstheme="minorHAnsi"/>
                <w:color w:val="000000"/>
                <w:sz w:val="16"/>
                <w:szCs w:val="16"/>
              </w:rPr>
            </w:pPr>
            <w:r w:rsidRPr="00A65462">
              <w:rPr>
                <w:color w:val="000000"/>
                <w:sz w:val="16"/>
              </w:rPr>
              <w:t>9.3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7C0477B" w14:textId="77777777" w:rsidR="004701F4" w:rsidRPr="00A65462" w:rsidRDefault="004701F4" w:rsidP="005621E7">
            <w:pPr>
              <w:jc w:val="right"/>
              <w:rPr>
                <w:rFonts w:cstheme="minorHAnsi"/>
                <w:color w:val="000000"/>
                <w:sz w:val="16"/>
                <w:szCs w:val="16"/>
              </w:rPr>
            </w:pPr>
            <w:r w:rsidRPr="00A65462">
              <w:rPr>
                <w:color w:val="000000"/>
                <w:sz w:val="16"/>
              </w:rPr>
              <w:t>49.4</w:t>
            </w:r>
          </w:p>
        </w:tc>
      </w:tr>
      <w:tr w:rsidR="004701F4" w:rsidRPr="00A65462" w14:paraId="4143300B"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3BB96290" w14:textId="77777777" w:rsidR="004701F4" w:rsidRPr="00A65462" w:rsidRDefault="004701F4" w:rsidP="005621E7">
            <w:pPr>
              <w:rPr>
                <w:rFonts w:cstheme="minorHAnsi"/>
                <w:color w:val="000000"/>
                <w:sz w:val="16"/>
                <w:szCs w:val="16"/>
              </w:rPr>
            </w:pPr>
            <w:r w:rsidRPr="00A65462">
              <w:rPr>
                <w:color w:val="000000"/>
                <w:sz w:val="16"/>
              </w:rPr>
              <w:t>Bulgaria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206F904" w14:textId="77777777" w:rsidR="004701F4" w:rsidRPr="00A65462" w:rsidRDefault="004701F4" w:rsidP="005621E7">
            <w:pPr>
              <w:jc w:val="right"/>
              <w:rPr>
                <w:rFonts w:cstheme="minorHAnsi"/>
                <w:color w:val="000000"/>
                <w:sz w:val="16"/>
                <w:szCs w:val="16"/>
              </w:rPr>
            </w:pPr>
            <w:r w:rsidRPr="00A65462">
              <w:rPr>
                <w:color w:val="000000"/>
                <w:sz w:val="16"/>
              </w:rPr>
              <w:t>0.2</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708BEBF6" w14:textId="77777777" w:rsidR="004701F4" w:rsidRPr="00A65462" w:rsidRDefault="004701F4" w:rsidP="005621E7">
            <w:pPr>
              <w:jc w:val="right"/>
              <w:rPr>
                <w:rFonts w:cstheme="minorHAnsi"/>
                <w:color w:val="000000"/>
                <w:sz w:val="16"/>
                <w:szCs w:val="16"/>
              </w:rPr>
            </w:pPr>
            <w:r w:rsidRPr="00A65462">
              <w:rPr>
                <w:color w:val="000000"/>
                <w:sz w:val="16"/>
              </w:rPr>
              <w:t>2,493.4</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42E83095" w14:textId="77777777" w:rsidR="004701F4" w:rsidRPr="00A65462" w:rsidRDefault="004701F4" w:rsidP="005621E7">
            <w:pPr>
              <w:jc w:val="right"/>
              <w:rPr>
                <w:rFonts w:cstheme="minorHAnsi"/>
                <w:color w:val="000000"/>
                <w:sz w:val="16"/>
                <w:szCs w:val="16"/>
              </w:rPr>
            </w:pPr>
            <w:r w:rsidRPr="00A65462">
              <w:rPr>
                <w:color w:val="000000"/>
                <w:sz w:val="16"/>
              </w:rPr>
              <w:t>2,981.2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09C937A" w14:textId="77777777" w:rsidR="004701F4" w:rsidRPr="00A65462" w:rsidRDefault="004701F4" w:rsidP="005621E7">
            <w:pPr>
              <w:jc w:val="right"/>
              <w:rPr>
                <w:rFonts w:cstheme="minorHAnsi"/>
                <w:color w:val="000000"/>
                <w:sz w:val="16"/>
                <w:szCs w:val="16"/>
              </w:rPr>
            </w:pPr>
            <w:r w:rsidRPr="00A65462">
              <w:rPr>
                <w:color w:val="000000"/>
                <w:sz w:val="16"/>
              </w:rPr>
              <w:t>19.6</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1D296DE" w14:textId="77777777" w:rsidR="004701F4" w:rsidRPr="00A65462" w:rsidRDefault="004701F4" w:rsidP="005621E7">
            <w:pPr>
              <w:jc w:val="right"/>
              <w:rPr>
                <w:rFonts w:cstheme="minorHAnsi"/>
                <w:color w:val="000000"/>
                <w:sz w:val="16"/>
                <w:szCs w:val="16"/>
              </w:rPr>
            </w:pPr>
            <w:r w:rsidRPr="00A65462">
              <w:rPr>
                <w:color w:val="000000"/>
                <w:sz w:val="16"/>
              </w:rPr>
              <w:t>0.3</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6F2C3E7" w14:textId="77777777" w:rsidR="004701F4" w:rsidRPr="00A65462" w:rsidRDefault="004701F4" w:rsidP="005621E7">
            <w:pPr>
              <w:jc w:val="right"/>
              <w:rPr>
                <w:rFonts w:cstheme="minorHAnsi"/>
                <w:color w:val="000000"/>
                <w:sz w:val="16"/>
                <w:szCs w:val="16"/>
              </w:rPr>
            </w:pPr>
            <w:r w:rsidRPr="00A65462">
              <w:rPr>
                <w:color w:val="000000"/>
                <w:sz w:val="16"/>
              </w:rPr>
              <w:t>399.2</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A523522" w14:textId="77777777" w:rsidR="004701F4" w:rsidRPr="00A65462" w:rsidRDefault="004701F4" w:rsidP="005621E7">
            <w:pPr>
              <w:jc w:val="right"/>
              <w:rPr>
                <w:rFonts w:cstheme="minorHAnsi"/>
                <w:color w:val="000000"/>
                <w:sz w:val="16"/>
                <w:szCs w:val="16"/>
              </w:rPr>
            </w:pPr>
            <w:r w:rsidRPr="00A65462">
              <w:rPr>
                <w:color w:val="000000"/>
                <w:sz w:val="16"/>
              </w:rPr>
              <w:t>2,054.6</w:t>
            </w:r>
          </w:p>
        </w:tc>
        <w:tc>
          <w:tcPr>
            <w:tcW w:w="639" w:type="dxa"/>
            <w:tcBorders>
              <w:top w:val="nil"/>
              <w:left w:val="nil"/>
              <w:bottom w:val="single" w:sz="4" w:space="0" w:color="FFFFFF" w:themeColor="background1"/>
              <w:right w:val="nil"/>
            </w:tcBorders>
            <w:shd w:val="clear" w:color="auto" w:fill="auto"/>
            <w:noWrap/>
            <w:vAlign w:val="bottom"/>
            <w:hideMark/>
          </w:tcPr>
          <w:p w14:paraId="5ECD2660" w14:textId="77777777" w:rsidR="004701F4" w:rsidRPr="00A65462" w:rsidRDefault="004701F4" w:rsidP="005621E7">
            <w:pPr>
              <w:jc w:val="right"/>
              <w:rPr>
                <w:rFonts w:cstheme="minorHAnsi"/>
                <w:color w:val="000000"/>
                <w:sz w:val="16"/>
                <w:szCs w:val="16"/>
              </w:rPr>
            </w:pPr>
            <w:r w:rsidRPr="00A65462">
              <w:rPr>
                <w:color w:val="000000"/>
                <w:sz w:val="16"/>
              </w:rPr>
              <w:t>414.7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F462695" w14:textId="77777777" w:rsidR="004701F4" w:rsidRPr="00A65462" w:rsidRDefault="004701F4" w:rsidP="005621E7">
            <w:pPr>
              <w:jc w:val="right"/>
              <w:rPr>
                <w:rFonts w:cstheme="minorHAnsi"/>
                <w:color w:val="000000"/>
                <w:sz w:val="16"/>
                <w:szCs w:val="16"/>
              </w:rPr>
            </w:pPr>
            <w:r w:rsidRPr="00A65462">
              <w:rPr>
                <w:color w:val="000000"/>
                <w:sz w:val="16"/>
              </w:rPr>
              <w:t>68.9</w:t>
            </w:r>
          </w:p>
        </w:tc>
      </w:tr>
      <w:tr w:rsidR="004701F4" w:rsidRPr="00A65462" w14:paraId="25795BB6"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4996F109" w14:textId="77777777" w:rsidR="004701F4" w:rsidRPr="00A65462" w:rsidRDefault="004701F4" w:rsidP="005621E7">
            <w:pPr>
              <w:rPr>
                <w:rFonts w:cstheme="minorHAnsi"/>
                <w:color w:val="000000"/>
                <w:sz w:val="16"/>
                <w:szCs w:val="16"/>
              </w:rPr>
            </w:pPr>
            <w:r w:rsidRPr="00A65462">
              <w:rPr>
                <w:color w:val="000000"/>
                <w:sz w:val="16"/>
              </w:rPr>
              <w:t>Latvia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EA9B458"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0F787827" w14:textId="77777777" w:rsidR="004701F4" w:rsidRPr="00A65462" w:rsidRDefault="004701F4" w:rsidP="005621E7">
            <w:pPr>
              <w:jc w:val="right"/>
              <w:rPr>
                <w:rFonts w:cstheme="minorHAnsi"/>
                <w:color w:val="000000"/>
                <w:sz w:val="16"/>
                <w:szCs w:val="16"/>
              </w:rPr>
            </w:pPr>
            <w:r w:rsidRPr="00A65462">
              <w:rPr>
                <w:color w:val="000000"/>
                <w:sz w:val="16"/>
              </w:rPr>
              <w:t>189.2</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1BA61E07" w14:textId="77777777" w:rsidR="004701F4" w:rsidRPr="00A65462" w:rsidRDefault="004701F4" w:rsidP="005621E7">
            <w:pPr>
              <w:jc w:val="right"/>
              <w:rPr>
                <w:rFonts w:cstheme="minorHAnsi"/>
                <w:color w:val="000000"/>
                <w:sz w:val="16"/>
                <w:szCs w:val="16"/>
              </w:rPr>
            </w:pPr>
            <w:r w:rsidRPr="00A65462">
              <w:rPr>
                <w:color w:val="000000"/>
                <w:sz w:val="16"/>
              </w:rPr>
              <w:t>387.6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4EDAAC50" w14:textId="77777777" w:rsidR="004701F4" w:rsidRPr="00A65462" w:rsidRDefault="004701F4" w:rsidP="005621E7">
            <w:pPr>
              <w:jc w:val="right"/>
              <w:rPr>
                <w:rFonts w:cstheme="minorHAnsi"/>
                <w:color w:val="000000"/>
                <w:sz w:val="16"/>
                <w:szCs w:val="16"/>
              </w:rPr>
            </w:pPr>
            <w:r w:rsidRPr="00A65462">
              <w:rPr>
                <w:color w:val="000000"/>
                <w:sz w:val="16"/>
              </w:rPr>
              <w:t>104.9</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61154A0"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1E8569D" w14:textId="77777777" w:rsidR="004701F4" w:rsidRPr="00A65462" w:rsidRDefault="004701F4" w:rsidP="005621E7">
            <w:pPr>
              <w:jc w:val="right"/>
              <w:rPr>
                <w:rFonts w:cstheme="minorHAnsi"/>
                <w:color w:val="000000"/>
                <w:sz w:val="16"/>
                <w:szCs w:val="16"/>
              </w:rPr>
            </w:pPr>
            <w:r w:rsidRPr="00A65462">
              <w:rPr>
                <w:color w:val="000000"/>
                <w:sz w:val="16"/>
              </w:rPr>
              <w:t>205.1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94FB2BB" w14:textId="77777777" w:rsidR="004701F4" w:rsidRPr="00A65462" w:rsidRDefault="004701F4" w:rsidP="005621E7">
            <w:pPr>
              <w:jc w:val="right"/>
              <w:rPr>
                <w:rFonts w:cstheme="minorHAnsi"/>
                <w:color w:val="000000"/>
                <w:sz w:val="16"/>
                <w:szCs w:val="16"/>
              </w:rPr>
            </w:pPr>
            <w:r w:rsidRPr="00A65462">
              <w:rPr>
                <w:color w:val="000000"/>
                <w:sz w:val="16"/>
              </w:rPr>
              <w:t>136.3</w:t>
            </w:r>
          </w:p>
        </w:tc>
        <w:tc>
          <w:tcPr>
            <w:tcW w:w="639" w:type="dxa"/>
            <w:tcBorders>
              <w:top w:val="nil"/>
              <w:left w:val="nil"/>
              <w:bottom w:val="single" w:sz="4" w:space="0" w:color="FFFFFF" w:themeColor="background1"/>
              <w:right w:val="nil"/>
            </w:tcBorders>
            <w:shd w:val="clear" w:color="auto" w:fill="auto"/>
            <w:noWrap/>
            <w:vAlign w:val="bottom"/>
            <w:hideMark/>
          </w:tcPr>
          <w:p w14:paraId="618886C6" w14:textId="77777777" w:rsidR="004701F4" w:rsidRPr="00A65462" w:rsidRDefault="004701F4" w:rsidP="005621E7">
            <w:pPr>
              <w:jc w:val="right"/>
              <w:rPr>
                <w:rFonts w:cstheme="minorHAnsi"/>
                <w:color w:val="000000"/>
                <w:sz w:val="16"/>
                <w:szCs w:val="16"/>
              </w:rPr>
            </w:pPr>
            <w:r w:rsidRPr="00A65462">
              <w:rPr>
                <w:color w:val="000000"/>
                <w:sz w:val="16"/>
              </w:rPr>
              <w:t>-33.5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DA747C6" w14:textId="77777777" w:rsidR="004701F4" w:rsidRPr="00A65462" w:rsidRDefault="004701F4" w:rsidP="005621E7">
            <w:pPr>
              <w:jc w:val="right"/>
              <w:rPr>
                <w:rFonts w:cstheme="minorHAnsi"/>
                <w:color w:val="000000"/>
                <w:sz w:val="16"/>
                <w:szCs w:val="16"/>
              </w:rPr>
            </w:pPr>
            <w:r w:rsidRPr="00A65462">
              <w:rPr>
                <w:color w:val="000000"/>
                <w:sz w:val="16"/>
              </w:rPr>
              <w:t>35.2</w:t>
            </w:r>
          </w:p>
        </w:tc>
      </w:tr>
      <w:tr w:rsidR="004701F4" w:rsidRPr="00A65462" w14:paraId="734CAF24" w14:textId="77777777" w:rsidTr="004701F4">
        <w:tc>
          <w:tcPr>
            <w:tcW w:w="1229" w:type="dxa"/>
            <w:tcBorders>
              <w:top w:val="single" w:sz="4" w:space="0" w:color="auto"/>
              <w:left w:val="single" w:sz="4" w:space="0" w:color="auto"/>
              <w:bottom w:val="single" w:sz="4" w:space="0" w:color="auto"/>
              <w:right w:val="nil"/>
            </w:tcBorders>
            <w:shd w:val="clear" w:color="auto" w:fill="auto"/>
            <w:vAlign w:val="bottom"/>
            <w:hideMark/>
          </w:tcPr>
          <w:p w14:paraId="3BC0145B" w14:textId="77777777" w:rsidR="004701F4" w:rsidRPr="00A65462" w:rsidRDefault="004701F4" w:rsidP="005621E7">
            <w:pPr>
              <w:rPr>
                <w:rFonts w:cstheme="minorHAnsi"/>
                <w:b/>
                <w:bCs/>
                <w:color w:val="000000"/>
                <w:sz w:val="16"/>
                <w:szCs w:val="16"/>
              </w:rPr>
            </w:pPr>
            <w:r w:rsidRPr="00A65462">
              <w:rPr>
                <w:b/>
                <w:color w:val="000000"/>
                <w:sz w:val="16"/>
              </w:rPr>
              <w:t>European Union</w:t>
            </w:r>
          </w:p>
        </w:tc>
        <w:tc>
          <w:tcPr>
            <w:tcW w:w="674" w:type="dxa"/>
            <w:tcBorders>
              <w:top w:val="single" w:sz="4" w:space="0" w:color="auto"/>
              <w:left w:val="single" w:sz="4" w:space="0" w:color="auto"/>
              <w:bottom w:val="single" w:sz="4" w:space="0" w:color="auto"/>
              <w:right w:val="single" w:sz="4" w:space="0" w:color="FFFFFF" w:themeColor="background1"/>
            </w:tcBorders>
            <w:shd w:val="clear" w:color="auto" w:fill="auto"/>
            <w:vAlign w:val="bottom"/>
            <w:hideMark/>
          </w:tcPr>
          <w:p w14:paraId="52D9CC96" w14:textId="77777777" w:rsidR="004701F4" w:rsidRPr="00A65462" w:rsidRDefault="004701F4" w:rsidP="005621E7">
            <w:pPr>
              <w:jc w:val="right"/>
              <w:rPr>
                <w:rFonts w:cstheme="minorHAnsi"/>
                <w:b/>
                <w:bCs/>
                <w:color w:val="000000"/>
                <w:sz w:val="16"/>
                <w:szCs w:val="16"/>
              </w:rPr>
            </w:pPr>
            <w:r w:rsidRPr="00A65462">
              <w:rPr>
                <w:b/>
                <w:color w:val="000000"/>
                <w:sz w:val="16"/>
              </w:rPr>
              <w:t>62,2</w:t>
            </w:r>
          </w:p>
        </w:tc>
        <w:tc>
          <w:tcPr>
            <w:tcW w:w="996" w:type="dxa"/>
            <w:tcBorders>
              <w:top w:val="single" w:sz="4" w:space="0" w:color="auto"/>
              <w:left w:val="nil"/>
              <w:bottom w:val="single" w:sz="4" w:space="0" w:color="auto"/>
              <w:right w:val="single" w:sz="4" w:space="0" w:color="FFFFFF" w:themeColor="background1"/>
            </w:tcBorders>
            <w:shd w:val="clear" w:color="auto" w:fill="auto"/>
            <w:vAlign w:val="bottom"/>
            <w:hideMark/>
          </w:tcPr>
          <w:p w14:paraId="088A750E" w14:textId="77777777" w:rsidR="004701F4" w:rsidRPr="00A65462" w:rsidRDefault="004701F4" w:rsidP="005621E7">
            <w:pPr>
              <w:jc w:val="right"/>
              <w:rPr>
                <w:rFonts w:cstheme="minorHAnsi"/>
                <w:b/>
                <w:bCs/>
                <w:color w:val="000000"/>
                <w:sz w:val="16"/>
                <w:szCs w:val="16"/>
              </w:rPr>
            </w:pPr>
            <w:r w:rsidRPr="00A65462">
              <w:rPr>
                <w:b/>
                <w:color w:val="000000"/>
                <w:sz w:val="16"/>
              </w:rPr>
              <w:t>787,912.2</w:t>
            </w:r>
          </w:p>
        </w:tc>
        <w:tc>
          <w:tcPr>
            <w:tcW w:w="996" w:type="dxa"/>
            <w:tcBorders>
              <w:top w:val="single" w:sz="4" w:space="0" w:color="auto"/>
              <w:left w:val="nil"/>
              <w:bottom w:val="single" w:sz="4" w:space="0" w:color="auto"/>
              <w:right w:val="single" w:sz="4" w:space="0" w:color="FFFFFF" w:themeColor="background1"/>
            </w:tcBorders>
            <w:shd w:val="clear" w:color="auto" w:fill="auto"/>
            <w:vAlign w:val="bottom"/>
            <w:hideMark/>
          </w:tcPr>
          <w:p w14:paraId="42B95667" w14:textId="77777777" w:rsidR="004701F4" w:rsidRPr="00A65462" w:rsidRDefault="004701F4" w:rsidP="005621E7">
            <w:pPr>
              <w:jc w:val="right"/>
              <w:rPr>
                <w:rFonts w:cstheme="minorHAnsi"/>
                <w:b/>
                <w:bCs/>
                <w:color w:val="000000"/>
                <w:sz w:val="16"/>
                <w:szCs w:val="16"/>
              </w:rPr>
            </w:pPr>
            <w:r w:rsidRPr="00A65462">
              <w:rPr>
                <w:b/>
                <w:color w:val="000000"/>
                <w:sz w:val="16"/>
              </w:rPr>
              <w:t>758,470.3</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5B348FB9" w14:textId="77777777" w:rsidR="004701F4" w:rsidRPr="00A65462" w:rsidRDefault="004701F4" w:rsidP="005621E7">
            <w:pPr>
              <w:jc w:val="right"/>
              <w:rPr>
                <w:rFonts w:cstheme="minorHAnsi"/>
                <w:b/>
                <w:bCs/>
                <w:color w:val="000000"/>
                <w:sz w:val="16"/>
                <w:szCs w:val="16"/>
              </w:rPr>
            </w:pPr>
            <w:r w:rsidRPr="00A65462">
              <w:rPr>
                <w:b/>
                <w:color w:val="000000"/>
                <w:sz w:val="16"/>
              </w:rPr>
              <w:t>-3.7</w:t>
            </w:r>
          </w:p>
        </w:tc>
        <w:tc>
          <w:tcPr>
            <w:tcW w:w="786" w:type="dxa"/>
            <w:tcBorders>
              <w:top w:val="single" w:sz="4" w:space="0" w:color="auto"/>
              <w:left w:val="nil"/>
              <w:bottom w:val="single" w:sz="4" w:space="0" w:color="auto"/>
              <w:right w:val="single" w:sz="4" w:space="0" w:color="FFFFFF" w:themeColor="background1"/>
            </w:tcBorders>
            <w:shd w:val="clear" w:color="auto" w:fill="auto"/>
            <w:noWrap/>
            <w:vAlign w:val="bottom"/>
            <w:hideMark/>
          </w:tcPr>
          <w:p w14:paraId="0A7A920A" w14:textId="77777777" w:rsidR="004701F4" w:rsidRPr="00A65462" w:rsidRDefault="004701F4" w:rsidP="005621E7">
            <w:pPr>
              <w:jc w:val="right"/>
              <w:rPr>
                <w:rFonts w:cstheme="minorHAnsi"/>
                <w:b/>
                <w:bCs/>
                <w:color w:val="000000"/>
                <w:sz w:val="16"/>
                <w:szCs w:val="16"/>
              </w:rPr>
            </w:pPr>
            <w:r w:rsidRPr="00A65462">
              <w:rPr>
                <w:b/>
                <w:color w:val="000000"/>
                <w:sz w:val="16"/>
              </w:rPr>
              <w:t>89.4</w:t>
            </w:r>
          </w:p>
        </w:tc>
        <w:tc>
          <w:tcPr>
            <w:tcW w:w="873" w:type="dxa"/>
            <w:tcBorders>
              <w:top w:val="single" w:sz="4" w:space="0" w:color="auto"/>
              <w:left w:val="nil"/>
              <w:bottom w:val="single" w:sz="4" w:space="0" w:color="auto"/>
              <w:right w:val="single" w:sz="4" w:space="0" w:color="FFFFFF" w:themeColor="background1"/>
            </w:tcBorders>
            <w:shd w:val="clear" w:color="auto" w:fill="auto"/>
            <w:noWrap/>
            <w:vAlign w:val="bottom"/>
            <w:hideMark/>
          </w:tcPr>
          <w:p w14:paraId="1B413757" w14:textId="77777777" w:rsidR="004701F4" w:rsidRPr="00A65462" w:rsidRDefault="004701F4" w:rsidP="005621E7">
            <w:pPr>
              <w:jc w:val="right"/>
              <w:rPr>
                <w:rFonts w:cstheme="minorHAnsi"/>
                <w:b/>
                <w:bCs/>
                <w:color w:val="000000"/>
                <w:sz w:val="16"/>
                <w:szCs w:val="16"/>
              </w:rPr>
            </w:pPr>
            <w:r w:rsidRPr="00A65462">
              <w:rPr>
                <w:b/>
                <w:color w:val="000000"/>
                <w:sz w:val="16"/>
              </w:rPr>
              <w:t>829,210.7</w:t>
            </w:r>
          </w:p>
        </w:tc>
        <w:tc>
          <w:tcPr>
            <w:tcW w:w="873" w:type="dxa"/>
            <w:tcBorders>
              <w:top w:val="single" w:sz="4" w:space="0" w:color="auto"/>
              <w:left w:val="nil"/>
              <w:bottom w:val="single" w:sz="4" w:space="0" w:color="auto"/>
              <w:right w:val="single" w:sz="4" w:space="0" w:color="FFFFFF" w:themeColor="background1"/>
            </w:tcBorders>
            <w:shd w:val="clear" w:color="auto" w:fill="auto"/>
            <w:noWrap/>
            <w:vAlign w:val="bottom"/>
            <w:hideMark/>
          </w:tcPr>
          <w:p w14:paraId="2FF4D6CE" w14:textId="77777777" w:rsidR="004701F4" w:rsidRPr="00A65462" w:rsidRDefault="004701F4" w:rsidP="005621E7">
            <w:pPr>
              <w:jc w:val="right"/>
              <w:rPr>
                <w:rFonts w:cstheme="minorHAnsi"/>
                <w:b/>
                <w:bCs/>
                <w:color w:val="000000"/>
                <w:sz w:val="16"/>
                <w:szCs w:val="16"/>
              </w:rPr>
            </w:pPr>
            <w:r w:rsidRPr="00A65462">
              <w:rPr>
                <w:b/>
                <w:color w:val="000000"/>
                <w:sz w:val="16"/>
              </w:rPr>
              <w:t>716,981.9</w:t>
            </w:r>
          </w:p>
        </w:tc>
        <w:tc>
          <w:tcPr>
            <w:tcW w:w="639" w:type="dxa"/>
            <w:tcBorders>
              <w:top w:val="single" w:sz="4" w:space="0" w:color="auto"/>
              <w:left w:val="nil"/>
              <w:bottom w:val="single" w:sz="4" w:space="0" w:color="auto"/>
              <w:right w:val="nil"/>
            </w:tcBorders>
            <w:shd w:val="clear" w:color="auto" w:fill="auto"/>
            <w:noWrap/>
            <w:vAlign w:val="bottom"/>
            <w:hideMark/>
          </w:tcPr>
          <w:p w14:paraId="5EE15A47" w14:textId="77777777" w:rsidR="004701F4" w:rsidRPr="00A65462" w:rsidRDefault="004701F4" w:rsidP="005621E7">
            <w:pPr>
              <w:jc w:val="right"/>
              <w:rPr>
                <w:rFonts w:cstheme="minorHAnsi"/>
                <w:b/>
                <w:bCs/>
                <w:color w:val="000000"/>
                <w:sz w:val="16"/>
                <w:szCs w:val="16"/>
              </w:rPr>
            </w:pPr>
            <w:r w:rsidRPr="00A65462">
              <w:rPr>
                <w:b/>
                <w:color w:val="000000"/>
                <w:sz w:val="16"/>
              </w:rPr>
              <w:t>-13.5</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12D8A" w14:textId="77777777" w:rsidR="004701F4" w:rsidRPr="00A65462" w:rsidRDefault="004701F4" w:rsidP="005621E7">
            <w:pPr>
              <w:jc w:val="right"/>
              <w:rPr>
                <w:rFonts w:cstheme="minorHAnsi"/>
                <w:b/>
                <w:bCs/>
                <w:color w:val="000000"/>
                <w:sz w:val="16"/>
                <w:szCs w:val="16"/>
              </w:rPr>
            </w:pPr>
            <w:r w:rsidRPr="00A65462">
              <w:rPr>
                <w:b/>
                <w:color w:val="000000"/>
                <w:sz w:val="16"/>
              </w:rPr>
              <w:t>94.5</w:t>
            </w:r>
          </w:p>
        </w:tc>
      </w:tr>
      <w:tr w:rsidR="004701F4" w:rsidRPr="00A65462" w14:paraId="5078FDD6" w14:textId="77777777" w:rsidTr="004701F4">
        <w:tc>
          <w:tcPr>
            <w:tcW w:w="1229" w:type="dxa"/>
            <w:tcBorders>
              <w:top w:val="single" w:sz="4" w:space="0" w:color="FFFFFF" w:themeColor="background1"/>
              <w:left w:val="single" w:sz="4" w:space="0" w:color="auto"/>
              <w:bottom w:val="single" w:sz="4" w:space="0" w:color="FFFFFF" w:themeColor="background1"/>
              <w:right w:val="nil"/>
            </w:tcBorders>
            <w:shd w:val="clear" w:color="auto" w:fill="auto"/>
            <w:vAlign w:val="bottom"/>
            <w:hideMark/>
          </w:tcPr>
          <w:p w14:paraId="5FE7F821" w14:textId="77777777" w:rsidR="004701F4" w:rsidRPr="00A65462" w:rsidRDefault="004701F4" w:rsidP="005621E7">
            <w:pPr>
              <w:rPr>
                <w:rFonts w:cstheme="minorHAnsi"/>
                <w:color w:val="000000"/>
                <w:sz w:val="16"/>
                <w:szCs w:val="16"/>
              </w:rPr>
            </w:pPr>
            <w:r w:rsidRPr="00A65462">
              <w:rPr>
                <w:color w:val="000000"/>
                <w:sz w:val="16"/>
              </w:rPr>
              <w:t>United Kingdom</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126F429" w14:textId="77777777" w:rsidR="004701F4" w:rsidRPr="00A65462" w:rsidRDefault="004701F4" w:rsidP="005621E7">
            <w:pPr>
              <w:jc w:val="right"/>
              <w:rPr>
                <w:rFonts w:cstheme="minorHAnsi"/>
                <w:color w:val="000000"/>
                <w:sz w:val="16"/>
                <w:szCs w:val="16"/>
              </w:rPr>
            </w:pPr>
            <w:r w:rsidRPr="00A65462">
              <w:rPr>
                <w:color w:val="000000"/>
                <w:sz w:val="16"/>
              </w:rPr>
              <w:t>0.7</w:t>
            </w:r>
          </w:p>
        </w:tc>
        <w:tc>
          <w:tcPr>
            <w:tcW w:w="996"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2E71B17F" w14:textId="77777777" w:rsidR="004701F4" w:rsidRPr="00A65462" w:rsidRDefault="004701F4" w:rsidP="005621E7">
            <w:pPr>
              <w:jc w:val="right"/>
              <w:rPr>
                <w:rFonts w:cstheme="minorHAnsi"/>
                <w:color w:val="000000"/>
                <w:sz w:val="16"/>
                <w:szCs w:val="16"/>
              </w:rPr>
            </w:pPr>
            <w:r w:rsidRPr="00A65462">
              <w:rPr>
                <w:color w:val="000000"/>
                <w:sz w:val="16"/>
              </w:rPr>
              <w:t>10,579.8</w:t>
            </w:r>
          </w:p>
        </w:tc>
        <w:tc>
          <w:tcPr>
            <w:tcW w:w="996"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5AB31E7D" w14:textId="77777777" w:rsidR="004701F4" w:rsidRPr="00A65462" w:rsidRDefault="004701F4" w:rsidP="005621E7">
            <w:pPr>
              <w:jc w:val="right"/>
              <w:rPr>
                <w:rFonts w:cstheme="minorHAnsi"/>
                <w:color w:val="000000"/>
                <w:sz w:val="16"/>
                <w:szCs w:val="16"/>
              </w:rPr>
            </w:pPr>
            <w:r w:rsidRPr="00A65462">
              <w:rPr>
                <w:color w:val="000000"/>
                <w:sz w:val="16"/>
              </w:rPr>
              <w:t>8,451.6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4A59AF2" w14:textId="77777777" w:rsidR="004701F4" w:rsidRPr="00A65462" w:rsidRDefault="004701F4" w:rsidP="005621E7">
            <w:pPr>
              <w:jc w:val="right"/>
              <w:rPr>
                <w:rFonts w:cstheme="minorHAnsi"/>
                <w:color w:val="000000"/>
                <w:sz w:val="16"/>
                <w:szCs w:val="16"/>
              </w:rPr>
            </w:pPr>
            <w:r w:rsidRPr="00A65462">
              <w:rPr>
                <w:color w:val="000000"/>
                <w:sz w:val="16"/>
              </w:rPr>
              <w:t>-20.1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0360139" w14:textId="77777777" w:rsidR="004701F4" w:rsidRPr="00A65462" w:rsidRDefault="004701F4" w:rsidP="005621E7">
            <w:pPr>
              <w:jc w:val="right"/>
              <w:rPr>
                <w:rFonts w:cstheme="minorHAnsi"/>
                <w:color w:val="000000"/>
                <w:sz w:val="16"/>
                <w:szCs w:val="16"/>
              </w:rPr>
            </w:pPr>
            <w:r w:rsidRPr="00A65462">
              <w:rPr>
                <w:color w:val="000000"/>
                <w:sz w:val="16"/>
              </w:rPr>
              <w:t>2.4</w:t>
            </w:r>
          </w:p>
        </w:tc>
        <w:tc>
          <w:tcPr>
            <w:tcW w:w="873"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32D989E0" w14:textId="77777777" w:rsidR="004701F4" w:rsidRPr="00A65462" w:rsidRDefault="004701F4" w:rsidP="005621E7">
            <w:pPr>
              <w:jc w:val="right"/>
              <w:rPr>
                <w:rFonts w:cstheme="minorHAnsi"/>
                <w:color w:val="000000"/>
                <w:sz w:val="16"/>
                <w:szCs w:val="16"/>
              </w:rPr>
            </w:pPr>
            <w:r w:rsidRPr="00A65462">
              <w:rPr>
                <w:color w:val="000000"/>
                <w:sz w:val="16"/>
              </w:rPr>
              <w:t>22,932.9</w:t>
            </w:r>
          </w:p>
        </w:tc>
        <w:tc>
          <w:tcPr>
            <w:tcW w:w="873"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5E8B299F" w14:textId="77777777" w:rsidR="004701F4" w:rsidRPr="00A65462" w:rsidRDefault="004701F4" w:rsidP="005621E7">
            <w:pPr>
              <w:jc w:val="right"/>
              <w:rPr>
                <w:rFonts w:cstheme="minorHAnsi"/>
                <w:color w:val="000000"/>
                <w:sz w:val="16"/>
                <w:szCs w:val="16"/>
              </w:rPr>
            </w:pPr>
            <w:r w:rsidRPr="00A65462">
              <w:rPr>
                <w:color w:val="000000"/>
                <w:sz w:val="16"/>
              </w:rPr>
              <w:t>19,142.6</w:t>
            </w:r>
          </w:p>
        </w:tc>
        <w:tc>
          <w:tcPr>
            <w:tcW w:w="639" w:type="dxa"/>
            <w:tcBorders>
              <w:top w:val="nil"/>
              <w:left w:val="nil"/>
              <w:bottom w:val="single" w:sz="4" w:space="0" w:color="FFFFFF" w:themeColor="background1"/>
              <w:right w:val="nil"/>
            </w:tcBorders>
            <w:shd w:val="clear" w:color="auto" w:fill="auto"/>
            <w:noWrap/>
            <w:vAlign w:val="bottom"/>
            <w:hideMark/>
          </w:tcPr>
          <w:p w14:paraId="1BC8996C" w14:textId="77777777" w:rsidR="004701F4" w:rsidRPr="00A65462" w:rsidRDefault="004701F4" w:rsidP="005621E7">
            <w:pPr>
              <w:jc w:val="right"/>
              <w:rPr>
                <w:rFonts w:cstheme="minorHAnsi"/>
                <w:color w:val="000000"/>
                <w:sz w:val="16"/>
                <w:szCs w:val="16"/>
              </w:rPr>
            </w:pPr>
            <w:r w:rsidRPr="00A65462">
              <w:rPr>
                <w:color w:val="000000"/>
                <w:sz w:val="16"/>
              </w:rPr>
              <w:t>-16.5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9B283D8" w14:textId="77777777" w:rsidR="004701F4" w:rsidRPr="00A65462" w:rsidRDefault="004701F4" w:rsidP="005621E7">
            <w:pPr>
              <w:jc w:val="right"/>
              <w:rPr>
                <w:rFonts w:cstheme="minorHAnsi"/>
                <w:color w:val="000000"/>
                <w:sz w:val="16"/>
                <w:szCs w:val="16"/>
              </w:rPr>
            </w:pPr>
            <w:r w:rsidRPr="00A65462">
              <w:rPr>
                <w:color w:val="000000"/>
                <w:sz w:val="16"/>
              </w:rPr>
              <w:t>226.5</w:t>
            </w:r>
          </w:p>
        </w:tc>
      </w:tr>
      <w:tr w:rsidR="004701F4" w:rsidRPr="00A65462" w14:paraId="3AD5E5CA"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4CAEEB0F" w14:textId="77777777" w:rsidR="004701F4" w:rsidRPr="00A65462" w:rsidRDefault="004701F4" w:rsidP="005621E7">
            <w:pPr>
              <w:rPr>
                <w:rFonts w:cstheme="minorHAnsi"/>
                <w:color w:val="000000"/>
                <w:sz w:val="16"/>
                <w:szCs w:val="16"/>
              </w:rPr>
            </w:pPr>
            <w:r w:rsidRPr="00A65462">
              <w:rPr>
                <w:color w:val="000000"/>
                <w:sz w:val="16"/>
              </w:rPr>
              <w:t>Switzerland</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D7C8300"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5CBA8E0F" w14:textId="77777777" w:rsidR="004701F4" w:rsidRPr="00A65462" w:rsidRDefault="004701F4" w:rsidP="005621E7">
            <w:pPr>
              <w:jc w:val="right"/>
              <w:rPr>
                <w:rFonts w:cstheme="minorHAnsi"/>
                <w:color w:val="000000"/>
                <w:sz w:val="16"/>
                <w:szCs w:val="16"/>
              </w:rPr>
            </w:pPr>
            <w:r w:rsidRPr="00A65462">
              <w:rPr>
                <w:color w:val="000000"/>
                <w:sz w:val="16"/>
              </w:rPr>
              <w:t>1,299.5</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7BE8C769" w14:textId="77777777" w:rsidR="004701F4" w:rsidRPr="00A65462" w:rsidRDefault="004701F4" w:rsidP="005621E7">
            <w:pPr>
              <w:jc w:val="right"/>
              <w:rPr>
                <w:rFonts w:cstheme="minorHAnsi"/>
                <w:color w:val="000000"/>
                <w:sz w:val="16"/>
                <w:szCs w:val="16"/>
              </w:rPr>
            </w:pPr>
            <w:r w:rsidRPr="00A65462">
              <w:rPr>
                <w:color w:val="000000"/>
                <w:sz w:val="16"/>
              </w:rPr>
              <w:t>1,062.9</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C3711EA" w14:textId="77777777" w:rsidR="004701F4" w:rsidRPr="00A65462" w:rsidRDefault="004701F4" w:rsidP="005621E7">
            <w:pPr>
              <w:jc w:val="right"/>
              <w:rPr>
                <w:rFonts w:cstheme="minorHAnsi"/>
                <w:color w:val="000000"/>
                <w:sz w:val="16"/>
                <w:szCs w:val="16"/>
              </w:rPr>
            </w:pPr>
            <w:r w:rsidRPr="00A65462">
              <w:rPr>
                <w:color w:val="000000"/>
                <w:sz w:val="16"/>
              </w:rPr>
              <w:t>-18.2</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7B700C5" w14:textId="77777777" w:rsidR="004701F4" w:rsidRPr="00A65462" w:rsidRDefault="004701F4" w:rsidP="005621E7">
            <w:pPr>
              <w:jc w:val="right"/>
              <w:rPr>
                <w:rFonts w:cstheme="minorHAnsi"/>
                <w:color w:val="000000"/>
                <w:sz w:val="16"/>
                <w:szCs w:val="16"/>
              </w:rPr>
            </w:pPr>
            <w:r w:rsidRPr="00A65462">
              <w:rPr>
                <w:color w:val="000000"/>
                <w:sz w:val="16"/>
              </w:rPr>
              <w:t>1.4</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2A55957" w14:textId="77777777" w:rsidR="004701F4" w:rsidRPr="00A65462" w:rsidRDefault="004701F4" w:rsidP="005621E7">
            <w:pPr>
              <w:jc w:val="right"/>
              <w:rPr>
                <w:rFonts w:cstheme="minorHAnsi"/>
                <w:color w:val="000000"/>
                <w:sz w:val="16"/>
                <w:szCs w:val="16"/>
              </w:rPr>
            </w:pPr>
            <w:r w:rsidRPr="00A65462">
              <w:rPr>
                <w:color w:val="000000"/>
                <w:sz w:val="16"/>
              </w:rPr>
              <w:t>10,497.5</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C6114EE" w14:textId="77777777" w:rsidR="004701F4" w:rsidRPr="00A65462" w:rsidRDefault="004701F4" w:rsidP="005621E7">
            <w:pPr>
              <w:jc w:val="right"/>
              <w:rPr>
                <w:rFonts w:cstheme="minorHAnsi"/>
                <w:color w:val="000000"/>
                <w:sz w:val="16"/>
                <w:szCs w:val="16"/>
              </w:rPr>
            </w:pPr>
            <w:r w:rsidRPr="00A65462">
              <w:rPr>
                <w:color w:val="000000"/>
                <w:sz w:val="16"/>
              </w:rPr>
              <w:t>11,084.4</w:t>
            </w:r>
          </w:p>
        </w:tc>
        <w:tc>
          <w:tcPr>
            <w:tcW w:w="639" w:type="dxa"/>
            <w:tcBorders>
              <w:top w:val="nil"/>
              <w:left w:val="nil"/>
              <w:bottom w:val="single" w:sz="4" w:space="0" w:color="FFFFFF" w:themeColor="background1"/>
              <w:right w:val="nil"/>
            </w:tcBorders>
            <w:shd w:val="clear" w:color="auto" w:fill="auto"/>
            <w:noWrap/>
            <w:vAlign w:val="bottom"/>
            <w:hideMark/>
          </w:tcPr>
          <w:p w14:paraId="736CBC62" w14:textId="77777777" w:rsidR="004701F4" w:rsidRPr="00A65462" w:rsidRDefault="004701F4" w:rsidP="005621E7">
            <w:pPr>
              <w:jc w:val="right"/>
              <w:rPr>
                <w:rFonts w:cstheme="minorHAnsi"/>
                <w:color w:val="000000"/>
                <w:sz w:val="16"/>
                <w:szCs w:val="16"/>
              </w:rPr>
            </w:pPr>
            <w:r w:rsidRPr="00A65462">
              <w:rPr>
                <w:color w:val="000000"/>
                <w:sz w:val="16"/>
              </w:rPr>
              <w:t>5.6</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D83F835" w14:textId="77777777" w:rsidR="004701F4" w:rsidRPr="00A65462" w:rsidRDefault="004701F4" w:rsidP="005621E7">
            <w:pPr>
              <w:jc w:val="right"/>
              <w:rPr>
                <w:rFonts w:cstheme="minorHAnsi"/>
                <w:color w:val="000000"/>
                <w:sz w:val="16"/>
                <w:szCs w:val="16"/>
              </w:rPr>
            </w:pPr>
            <w:r w:rsidRPr="00A65462">
              <w:rPr>
                <w:color w:val="000000"/>
                <w:sz w:val="16"/>
              </w:rPr>
              <w:t>1,042.8</w:t>
            </w:r>
          </w:p>
        </w:tc>
      </w:tr>
      <w:tr w:rsidR="004701F4" w:rsidRPr="00A65462" w14:paraId="07E65D3F"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3ADD5CBC" w14:textId="77777777" w:rsidR="004701F4" w:rsidRPr="00A65462" w:rsidRDefault="004701F4" w:rsidP="005621E7">
            <w:pPr>
              <w:rPr>
                <w:rFonts w:cstheme="minorHAnsi"/>
                <w:color w:val="000000"/>
                <w:sz w:val="16"/>
                <w:szCs w:val="16"/>
              </w:rPr>
            </w:pPr>
            <w:r w:rsidRPr="00A65462">
              <w:rPr>
                <w:color w:val="000000"/>
                <w:sz w:val="16"/>
              </w:rPr>
              <w:t>Norway</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93B76C8"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5948B25E" w14:textId="77777777" w:rsidR="004701F4" w:rsidRPr="00A65462" w:rsidRDefault="004701F4" w:rsidP="005621E7">
            <w:pPr>
              <w:jc w:val="right"/>
              <w:rPr>
                <w:rFonts w:cstheme="minorHAnsi"/>
                <w:color w:val="000000"/>
                <w:sz w:val="16"/>
                <w:szCs w:val="16"/>
              </w:rPr>
            </w:pPr>
            <w:r w:rsidRPr="00A65462">
              <w:rPr>
                <w:color w:val="000000"/>
                <w:sz w:val="16"/>
              </w:rPr>
              <w:t>25.7</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54EFA693" w14:textId="77777777" w:rsidR="004701F4" w:rsidRPr="00A65462" w:rsidRDefault="004701F4" w:rsidP="005621E7">
            <w:pPr>
              <w:jc w:val="right"/>
              <w:rPr>
                <w:rFonts w:cstheme="minorHAnsi"/>
                <w:color w:val="000000"/>
                <w:sz w:val="16"/>
                <w:szCs w:val="16"/>
              </w:rPr>
            </w:pPr>
            <w:r w:rsidRPr="00A65462">
              <w:rPr>
                <w:color w:val="000000"/>
                <w:sz w:val="16"/>
              </w:rPr>
              <w:t>30.4</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08D63ADC" w14:textId="77777777" w:rsidR="004701F4" w:rsidRPr="00A65462" w:rsidRDefault="004701F4" w:rsidP="005621E7">
            <w:pPr>
              <w:jc w:val="right"/>
              <w:rPr>
                <w:rFonts w:cstheme="minorHAnsi"/>
                <w:color w:val="000000"/>
                <w:sz w:val="16"/>
                <w:szCs w:val="16"/>
              </w:rPr>
            </w:pPr>
            <w:r w:rsidRPr="00A65462">
              <w:rPr>
                <w:color w:val="000000"/>
                <w:sz w:val="16"/>
              </w:rPr>
              <w:t>18.1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D9CBB27"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0C4879C" w14:textId="77777777" w:rsidR="004701F4" w:rsidRPr="00A65462" w:rsidRDefault="004701F4" w:rsidP="005621E7">
            <w:pPr>
              <w:jc w:val="right"/>
              <w:rPr>
                <w:rFonts w:cstheme="minorHAnsi"/>
                <w:color w:val="000000"/>
                <w:sz w:val="16"/>
                <w:szCs w:val="16"/>
              </w:rPr>
            </w:pPr>
            <w:r w:rsidRPr="00A65462">
              <w:rPr>
                <w:color w:val="000000"/>
                <w:sz w:val="16"/>
              </w:rPr>
              <w:t>867.5</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E93273E" w14:textId="77777777" w:rsidR="004701F4" w:rsidRPr="00A65462" w:rsidRDefault="004701F4" w:rsidP="005621E7">
            <w:pPr>
              <w:jc w:val="right"/>
              <w:rPr>
                <w:rFonts w:cstheme="minorHAnsi"/>
                <w:color w:val="000000"/>
                <w:sz w:val="16"/>
                <w:szCs w:val="16"/>
              </w:rPr>
            </w:pPr>
            <w:r w:rsidRPr="00A65462">
              <w:rPr>
                <w:color w:val="000000"/>
                <w:sz w:val="16"/>
              </w:rPr>
              <w:t>896.1</w:t>
            </w:r>
          </w:p>
        </w:tc>
        <w:tc>
          <w:tcPr>
            <w:tcW w:w="639" w:type="dxa"/>
            <w:tcBorders>
              <w:top w:val="nil"/>
              <w:left w:val="nil"/>
              <w:bottom w:val="single" w:sz="4" w:space="0" w:color="FFFFFF" w:themeColor="background1"/>
              <w:right w:val="nil"/>
            </w:tcBorders>
            <w:shd w:val="clear" w:color="auto" w:fill="auto"/>
            <w:noWrap/>
            <w:vAlign w:val="bottom"/>
            <w:hideMark/>
          </w:tcPr>
          <w:p w14:paraId="5E553882" w14:textId="77777777" w:rsidR="004701F4" w:rsidRPr="00A65462" w:rsidRDefault="004701F4" w:rsidP="005621E7">
            <w:pPr>
              <w:jc w:val="right"/>
              <w:rPr>
                <w:rFonts w:cstheme="minorHAnsi"/>
                <w:color w:val="000000"/>
                <w:sz w:val="16"/>
                <w:szCs w:val="16"/>
              </w:rPr>
            </w:pPr>
            <w:r w:rsidRPr="00A65462">
              <w:rPr>
                <w:color w:val="000000"/>
                <w:sz w:val="16"/>
              </w:rPr>
              <w:t>3.3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665BBE8" w14:textId="77777777" w:rsidR="004701F4" w:rsidRPr="00A65462" w:rsidRDefault="004701F4" w:rsidP="005621E7">
            <w:pPr>
              <w:jc w:val="right"/>
              <w:rPr>
                <w:rFonts w:cstheme="minorHAnsi"/>
                <w:color w:val="000000"/>
                <w:sz w:val="16"/>
                <w:szCs w:val="16"/>
              </w:rPr>
            </w:pPr>
            <w:r w:rsidRPr="00A65462">
              <w:rPr>
                <w:color w:val="000000"/>
                <w:sz w:val="16"/>
              </w:rPr>
              <w:t>2,950.1</w:t>
            </w:r>
          </w:p>
        </w:tc>
      </w:tr>
      <w:tr w:rsidR="004701F4" w:rsidRPr="00A65462" w14:paraId="03F7BBF9"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2B93E293" w14:textId="77777777" w:rsidR="004701F4" w:rsidRPr="00A65462" w:rsidRDefault="004701F4" w:rsidP="005621E7">
            <w:pPr>
              <w:rPr>
                <w:rFonts w:cstheme="minorHAnsi"/>
                <w:color w:val="000000"/>
                <w:sz w:val="16"/>
                <w:szCs w:val="16"/>
              </w:rPr>
            </w:pPr>
            <w:r w:rsidRPr="00A65462">
              <w:rPr>
                <w:color w:val="000000"/>
                <w:sz w:val="16"/>
              </w:rPr>
              <w:t>Ukraine</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367ED14" w14:textId="77777777" w:rsidR="004701F4" w:rsidRPr="00A65462" w:rsidRDefault="004701F4" w:rsidP="005621E7">
            <w:pPr>
              <w:jc w:val="right"/>
              <w:rPr>
                <w:rFonts w:cstheme="minorHAnsi"/>
                <w:color w:val="000000"/>
                <w:sz w:val="16"/>
                <w:szCs w:val="16"/>
              </w:rPr>
            </w:pPr>
            <w:r w:rsidRPr="00A65462">
              <w:rPr>
                <w:color w:val="000000"/>
                <w:sz w:val="16"/>
              </w:rPr>
              <w:t>0.8</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24FF03A4" w14:textId="77777777" w:rsidR="004701F4" w:rsidRPr="00A65462" w:rsidRDefault="004701F4" w:rsidP="005621E7">
            <w:pPr>
              <w:jc w:val="right"/>
              <w:rPr>
                <w:rFonts w:cstheme="minorHAnsi"/>
                <w:color w:val="000000"/>
                <w:sz w:val="16"/>
                <w:szCs w:val="16"/>
              </w:rPr>
            </w:pPr>
            <w:r w:rsidRPr="00A65462">
              <w:rPr>
                <w:color w:val="000000"/>
                <w:sz w:val="16"/>
              </w:rPr>
              <w:t>11,236.2</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663B6937" w14:textId="77777777" w:rsidR="004701F4" w:rsidRPr="00A65462" w:rsidRDefault="004701F4" w:rsidP="005621E7">
            <w:pPr>
              <w:jc w:val="right"/>
              <w:rPr>
                <w:rFonts w:cstheme="minorHAnsi"/>
                <w:color w:val="000000"/>
                <w:sz w:val="16"/>
                <w:szCs w:val="16"/>
              </w:rPr>
            </w:pPr>
            <w:r w:rsidRPr="00A65462">
              <w:rPr>
                <w:color w:val="000000"/>
                <w:sz w:val="16"/>
              </w:rPr>
              <w:t>9,947.2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10405D7E" w14:textId="77777777" w:rsidR="004701F4" w:rsidRPr="00A65462" w:rsidRDefault="004701F4" w:rsidP="005621E7">
            <w:pPr>
              <w:jc w:val="right"/>
              <w:rPr>
                <w:rFonts w:cstheme="minorHAnsi"/>
                <w:color w:val="000000"/>
                <w:sz w:val="16"/>
                <w:szCs w:val="16"/>
              </w:rPr>
            </w:pPr>
            <w:r w:rsidRPr="00A65462">
              <w:rPr>
                <w:color w:val="000000"/>
                <w:sz w:val="16"/>
              </w:rPr>
              <w:t>-11.5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04F5D94"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FC5B016" w14:textId="77777777" w:rsidR="004701F4" w:rsidRPr="00A65462" w:rsidRDefault="004701F4" w:rsidP="005621E7">
            <w:pPr>
              <w:jc w:val="right"/>
              <w:rPr>
                <w:rFonts w:cstheme="minorHAnsi"/>
                <w:color w:val="000000"/>
                <w:sz w:val="16"/>
                <w:szCs w:val="16"/>
              </w:rPr>
            </w:pPr>
            <w:r w:rsidRPr="00A65462">
              <w:rPr>
                <w:color w:val="000000"/>
                <w:sz w:val="16"/>
              </w:rPr>
              <w:t>49.0</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E01141B" w14:textId="77777777" w:rsidR="004701F4" w:rsidRPr="00A65462" w:rsidRDefault="004701F4" w:rsidP="005621E7">
            <w:pPr>
              <w:jc w:val="right"/>
              <w:rPr>
                <w:rFonts w:cstheme="minorHAnsi"/>
                <w:color w:val="000000"/>
                <w:sz w:val="16"/>
                <w:szCs w:val="16"/>
              </w:rPr>
            </w:pPr>
            <w:r w:rsidRPr="00A65462">
              <w:rPr>
                <w:color w:val="000000"/>
                <w:sz w:val="16"/>
              </w:rPr>
              <w:t>150.6</w:t>
            </w:r>
          </w:p>
        </w:tc>
        <w:tc>
          <w:tcPr>
            <w:tcW w:w="639" w:type="dxa"/>
            <w:tcBorders>
              <w:top w:val="nil"/>
              <w:left w:val="nil"/>
              <w:bottom w:val="single" w:sz="4" w:space="0" w:color="FFFFFF" w:themeColor="background1"/>
              <w:right w:val="nil"/>
            </w:tcBorders>
            <w:shd w:val="clear" w:color="auto" w:fill="auto"/>
            <w:noWrap/>
            <w:vAlign w:val="bottom"/>
            <w:hideMark/>
          </w:tcPr>
          <w:p w14:paraId="3A6D4107" w14:textId="77777777" w:rsidR="004701F4" w:rsidRPr="00A65462" w:rsidRDefault="004701F4" w:rsidP="005621E7">
            <w:pPr>
              <w:jc w:val="right"/>
              <w:rPr>
                <w:rFonts w:cstheme="minorHAnsi"/>
                <w:color w:val="000000"/>
                <w:sz w:val="16"/>
                <w:szCs w:val="16"/>
              </w:rPr>
            </w:pPr>
            <w:r w:rsidRPr="00A65462">
              <w:rPr>
                <w:color w:val="000000"/>
                <w:sz w:val="16"/>
              </w:rPr>
              <w:t>207.5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C646EB5" w14:textId="77777777" w:rsidR="004701F4" w:rsidRPr="00A65462" w:rsidRDefault="004701F4" w:rsidP="005621E7">
            <w:pPr>
              <w:jc w:val="right"/>
              <w:rPr>
                <w:rFonts w:cstheme="minorHAnsi"/>
                <w:color w:val="000000"/>
                <w:sz w:val="16"/>
                <w:szCs w:val="16"/>
              </w:rPr>
            </w:pPr>
            <w:r w:rsidRPr="00A65462">
              <w:rPr>
                <w:color w:val="000000"/>
                <w:sz w:val="16"/>
              </w:rPr>
              <w:t>1.5</w:t>
            </w:r>
          </w:p>
        </w:tc>
      </w:tr>
      <w:tr w:rsidR="004701F4" w:rsidRPr="00A65462" w14:paraId="7C8ACDB7"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51F2E4FF" w14:textId="77777777" w:rsidR="004701F4" w:rsidRPr="00A65462" w:rsidRDefault="004701F4" w:rsidP="005621E7">
            <w:pPr>
              <w:rPr>
                <w:rFonts w:cstheme="minorHAnsi"/>
                <w:color w:val="000000"/>
                <w:sz w:val="16"/>
                <w:szCs w:val="16"/>
              </w:rPr>
            </w:pPr>
            <w:r w:rsidRPr="00A65462">
              <w:rPr>
                <w:color w:val="000000"/>
                <w:sz w:val="16"/>
              </w:rPr>
              <w:lastRenderedPageBreak/>
              <w:t>Serbia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E47E48C" w14:textId="77777777" w:rsidR="004701F4" w:rsidRPr="00A65462" w:rsidRDefault="004701F4" w:rsidP="005621E7">
            <w:pPr>
              <w:jc w:val="right"/>
              <w:rPr>
                <w:rFonts w:cstheme="minorHAnsi"/>
                <w:color w:val="000000"/>
                <w:sz w:val="16"/>
                <w:szCs w:val="16"/>
              </w:rPr>
            </w:pPr>
            <w:r w:rsidRPr="00A65462">
              <w:rPr>
                <w:color w:val="000000"/>
                <w:sz w:val="16"/>
              </w:rPr>
              <w:t>0.7</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5717CDDD" w14:textId="77777777" w:rsidR="004701F4" w:rsidRPr="00A65462" w:rsidRDefault="004701F4" w:rsidP="005621E7">
            <w:pPr>
              <w:jc w:val="right"/>
              <w:rPr>
                <w:rFonts w:cstheme="minorHAnsi"/>
                <w:color w:val="000000"/>
                <w:sz w:val="16"/>
                <w:szCs w:val="16"/>
              </w:rPr>
            </w:pPr>
            <w:r w:rsidRPr="00A65462">
              <w:rPr>
                <w:color w:val="000000"/>
                <w:sz w:val="16"/>
              </w:rPr>
              <w:t>8,173.5</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47416CA1" w14:textId="77777777" w:rsidR="004701F4" w:rsidRPr="00A65462" w:rsidRDefault="004701F4" w:rsidP="005621E7">
            <w:pPr>
              <w:jc w:val="right"/>
              <w:rPr>
                <w:rFonts w:cstheme="minorHAnsi"/>
                <w:color w:val="000000"/>
                <w:sz w:val="16"/>
                <w:szCs w:val="16"/>
              </w:rPr>
            </w:pPr>
            <w:r w:rsidRPr="00A65462">
              <w:rPr>
                <w:color w:val="000000"/>
                <w:sz w:val="16"/>
              </w:rPr>
              <w:t>8,768.2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3F1320F" w14:textId="77777777" w:rsidR="004701F4" w:rsidRPr="00A65462" w:rsidRDefault="004701F4" w:rsidP="005621E7">
            <w:pPr>
              <w:jc w:val="right"/>
              <w:rPr>
                <w:rFonts w:cstheme="minorHAnsi"/>
                <w:color w:val="000000"/>
                <w:sz w:val="16"/>
                <w:szCs w:val="16"/>
              </w:rPr>
            </w:pPr>
            <w:r w:rsidRPr="00A65462">
              <w:rPr>
                <w:color w:val="000000"/>
                <w:sz w:val="16"/>
              </w:rPr>
              <w:t>7.3</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71A2D8F"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252A50F" w14:textId="77777777" w:rsidR="004701F4" w:rsidRPr="00A65462" w:rsidRDefault="004701F4" w:rsidP="005621E7">
            <w:pPr>
              <w:jc w:val="right"/>
              <w:rPr>
                <w:rFonts w:cstheme="minorHAnsi"/>
                <w:color w:val="000000"/>
                <w:sz w:val="16"/>
                <w:szCs w:val="16"/>
              </w:rPr>
            </w:pPr>
            <w:r w:rsidRPr="00A65462">
              <w:rPr>
                <w:color w:val="000000"/>
                <w:sz w:val="16"/>
              </w:rPr>
              <w:t>102.2</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7930FAF" w14:textId="77777777" w:rsidR="004701F4" w:rsidRPr="00A65462" w:rsidRDefault="004701F4" w:rsidP="005621E7">
            <w:pPr>
              <w:jc w:val="right"/>
              <w:rPr>
                <w:rFonts w:cstheme="minorHAnsi"/>
                <w:color w:val="000000"/>
                <w:sz w:val="16"/>
                <w:szCs w:val="16"/>
              </w:rPr>
            </w:pPr>
            <w:r w:rsidRPr="00A65462">
              <w:rPr>
                <w:color w:val="000000"/>
                <w:sz w:val="16"/>
              </w:rPr>
              <w:t>152.1</w:t>
            </w:r>
          </w:p>
        </w:tc>
        <w:tc>
          <w:tcPr>
            <w:tcW w:w="639" w:type="dxa"/>
            <w:tcBorders>
              <w:top w:val="nil"/>
              <w:left w:val="nil"/>
              <w:bottom w:val="single" w:sz="4" w:space="0" w:color="FFFFFF" w:themeColor="background1"/>
              <w:right w:val="nil"/>
            </w:tcBorders>
            <w:shd w:val="clear" w:color="auto" w:fill="auto"/>
            <w:noWrap/>
            <w:vAlign w:val="bottom"/>
            <w:hideMark/>
          </w:tcPr>
          <w:p w14:paraId="6FCD813E" w14:textId="77777777" w:rsidR="004701F4" w:rsidRPr="00A65462" w:rsidRDefault="004701F4" w:rsidP="005621E7">
            <w:pPr>
              <w:jc w:val="right"/>
              <w:rPr>
                <w:rFonts w:cstheme="minorHAnsi"/>
                <w:color w:val="000000"/>
                <w:sz w:val="16"/>
                <w:szCs w:val="16"/>
              </w:rPr>
            </w:pPr>
            <w:r w:rsidRPr="00A65462">
              <w:rPr>
                <w:color w:val="000000"/>
                <w:sz w:val="16"/>
              </w:rPr>
              <w:t>48.8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9E40B1B" w14:textId="77777777" w:rsidR="004701F4" w:rsidRPr="00A65462" w:rsidRDefault="004701F4" w:rsidP="005621E7">
            <w:pPr>
              <w:jc w:val="right"/>
              <w:rPr>
                <w:rFonts w:cstheme="minorHAnsi"/>
                <w:color w:val="000000"/>
                <w:sz w:val="16"/>
                <w:szCs w:val="16"/>
              </w:rPr>
            </w:pPr>
            <w:r w:rsidRPr="00A65462">
              <w:rPr>
                <w:color w:val="000000"/>
                <w:sz w:val="16"/>
              </w:rPr>
              <w:t>1.7</w:t>
            </w:r>
          </w:p>
        </w:tc>
      </w:tr>
      <w:tr w:rsidR="004701F4" w:rsidRPr="00A65462" w14:paraId="572D040E"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7402ED8C" w14:textId="77777777" w:rsidR="004701F4" w:rsidRPr="00A65462" w:rsidRDefault="004701F4" w:rsidP="005621E7">
            <w:pPr>
              <w:rPr>
                <w:rFonts w:cstheme="minorHAnsi"/>
                <w:color w:val="000000"/>
                <w:sz w:val="16"/>
                <w:szCs w:val="16"/>
              </w:rPr>
            </w:pPr>
            <w:r w:rsidRPr="00A65462">
              <w:rPr>
                <w:color w:val="000000"/>
                <w:sz w:val="16"/>
              </w:rPr>
              <w:t>USA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F600EAB" w14:textId="77777777" w:rsidR="004701F4" w:rsidRPr="00A65462" w:rsidRDefault="004701F4" w:rsidP="005621E7">
            <w:pPr>
              <w:jc w:val="right"/>
              <w:rPr>
                <w:rFonts w:cstheme="minorHAnsi"/>
                <w:color w:val="000000"/>
                <w:sz w:val="16"/>
                <w:szCs w:val="16"/>
              </w:rPr>
            </w:pPr>
            <w:r w:rsidRPr="00A65462">
              <w:rPr>
                <w:color w:val="000000"/>
                <w:sz w:val="16"/>
              </w:rPr>
              <w:t>0.3</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131F84E0" w14:textId="77777777" w:rsidR="004701F4" w:rsidRPr="00A65462" w:rsidRDefault="004701F4" w:rsidP="005621E7">
            <w:pPr>
              <w:jc w:val="right"/>
              <w:rPr>
                <w:rFonts w:cstheme="minorHAnsi"/>
                <w:color w:val="000000"/>
                <w:sz w:val="16"/>
                <w:szCs w:val="16"/>
              </w:rPr>
            </w:pPr>
            <w:r w:rsidRPr="00A65462">
              <w:rPr>
                <w:color w:val="000000"/>
                <w:sz w:val="16"/>
              </w:rPr>
              <w:t>2,993.7</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3B39352E" w14:textId="77777777" w:rsidR="004701F4" w:rsidRPr="00A65462" w:rsidRDefault="004701F4" w:rsidP="005621E7">
            <w:pPr>
              <w:jc w:val="right"/>
              <w:rPr>
                <w:rFonts w:cstheme="minorHAnsi"/>
                <w:color w:val="000000"/>
                <w:sz w:val="16"/>
                <w:szCs w:val="16"/>
              </w:rPr>
            </w:pPr>
            <w:r w:rsidRPr="00A65462">
              <w:rPr>
                <w:color w:val="000000"/>
                <w:sz w:val="16"/>
              </w:rPr>
              <w:t>4,101.7</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1CB9FB35" w14:textId="77777777" w:rsidR="004701F4" w:rsidRPr="00A65462" w:rsidRDefault="004701F4" w:rsidP="005621E7">
            <w:pPr>
              <w:jc w:val="right"/>
              <w:rPr>
                <w:rFonts w:cstheme="minorHAnsi"/>
                <w:color w:val="000000"/>
                <w:sz w:val="16"/>
                <w:szCs w:val="16"/>
              </w:rPr>
            </w:pPr>
            <w:r w:rsidRPr="00A65462">
              <w:rPr>
                <w:color w:val="000000"/>
                <w:sz w:val="16"/>
              </w:rPr>
              <w:t>37.0</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5E6DD66" w14:textId="77777777" w:rsidR="004701F4" w:rsidRPr="00A65462" w:rsidRDefault="004701F4" w:rsidP="005621E7">
            <w:pPr>
              <w:jc w:val="right"/>
              <w:rPr>
                <w:rFonts w:cstheme="minorHAnsi"/>
                <w:color w:val="000000"/>
                <w:sz w:val="16"/>
                <w:szCs w:val="16"/>
              </w:rPr>
            </w:pPr>
            <w:r w:rsidRPr="00A65462">
              <w:rPr>
                <w:color w:val="000000"/>
                <w:sz w:val="16"/>
              </w:rPr>
              <w:t>2.4</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4C84DED" w14:textId="77777777" w:rsidR="004701F4" w:rsidRPr="00A65462" w:rsidRDefault="004701F4" w:rsidP="005621E7">
            <w:pPr>
              <w:jc w:val="right"/>
              <w:rPr>
                <w:rFonts w:cstheme="minorHAnsi"/>
                <w:color w:val="000000"/>
                <w:sz w:val="16"/>
                <w:szCs w:val="16"/>
              </w:rPr>
            </w:pPr>
            <w:r w:rsidRPr="00A65462">
              <w:rPr>
                <w:color w:val="000000"/>
                <w:sz w:val="16"/>
              </w:rPr>
              <w:t>17,526.4</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623598" w14:textId="77777777" w:rsidR="004701F4" w:rsidRPr="00A65462" w:rsidRDefault="004701F4" w:rsidP="005621E7">
            <w:pPr>
              <w:jc w:val="right"/>
              <w:rPr>
                <w:rFonts w:cstheme="minorHAnsi"/>
                <w:color w:val="000000"/>
                <w:sz w:val="16"/>
                <w:szCs w:val="16"/>
              </w:rPr>
            </w:pPr>
            <w:r w:rsidRPr="00A65462">
              <w:rPr>
                <w:color w:val="000000"/>
                <w:sz w:val="16"/>
              </w:rPr>
              <w:t>19,439.8</w:t>
            </w:r>
          </w:p>
        </w:tc>
        <w:tc>
          <w:tcPr>
            <w:tcW w:w="639" w:type="dxa"/>
            <w:tcBorders>
              <w:top w:val="nil"/>
              <w:left w:val="nil"/>
              <w:bottom w:val="single" w:sz="4" w:space="0" w:color="FFFFFF" w:themeColor="background1"/>
              <w:right w:val="nil"/>
            </w:tcBorders>
            <w:shd w:val="clear" w:color="auto" w:fill="auto"/>
            <w:noWrap/>
            <w:vAlign w:val="bottom"/>
            <w:hideMark/>
          </w:tcPr>
          <w:p w14:paraId="59AEE068" w14:textId="77777777" w:rsidR="004701F4" w:rsidRPr="00A65462" w:rsidRDefault="004701F4" w:rsidP="005621E7">
            <w:pPr>
              <w:jc w:val="right"/>
              <w:rPr>
                <w:rFonts w:cstheme="minorHAnsi"/>
                <w:color w:val="000000"/>
                <w:sz w:val="16"/>
                <w:szCs w:val="16"/>
              </w:rPr>
            </w:pPr>
            <w:r w:rsidRPr="00A65462">
              <w:rPr>
                <w:color w:val="000000"/>
                <w:sz w:val="16"/>
              </w:rPr>
              <w:t>10.9</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4E3EDF8" w14:textId="77777777" w:rsidR="004701F4" w:rsidRPr="00A65462" w:rsidRDefault="004701F4" w:rsidP="005621E7">
            <w:pPr>
              <w:jc w:val="right"/>
              <w:rPr>
                <w:rFonts w:cstheme="minorHAnsi"/>
                <w:color w:val="000000"/>
                <w:sz w:val="16"/>
                <w:szCs w:val="16"/>
              </w:rPr>
            </w:pPr>
            <w:r w:rsidRPr="00A65462">
              <w:rPr>
                <w:color w:val="000000"/>
                <w:sz w:val="16"/>
              </w:rPr>
              <w:t>473.9</w:t>
            </w:r>
          </w:p>
        </w:tc>
      </w:tr>
      <w:tr w:rsidR="004701F4" w:rsidRPr="00A65462" w14:paraId="2189565D"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7501796E" w14:textId="77777777" w:rsidR="004701F4" w:rsidRPr="00A65462" w:rsidRDefault="004701F4" w:rsidP="005621E7">
            <w:pPr>
              <w:rPr>
                <w:rFonts w:cstheme="minorHAnsi"/>
                <w:color w:val="000000"/>
                <w:sz w:val="16"/>
                <w:szCs w:val="16"/>
              </w:rPr>
            </w:pPr>
            <w:r w:rsidRPr="00A65462">
              <w:rPr>
                <w:color w:val="000000"/>
                <w:sz w:val="16"/>
              </w:rPr>
              <w:t>Canada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49C63D3"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0EAE8107" w14:textId="77777777" w:rsidR="004701F4" w:rsidRPr="00A65462" w:rsidRDefault="004701F4" w:rsidP="005621E7">
            <w:pPr>
              <w:jc w:val="right"/>
              <w:rPr>
                <w:rFonts w:cstheme="minorHAnsi"/>
                <w:color w:val="000000"/>
                <w:sz w:val="16"/>
                <w:szCs w:val="16"/>
              </w:rPr>
            </w:pPr>
            <w:r w:rsidRPr="00A65462">
              <w:rPr>
                <w:color w:val="000000"/>
                <w:sz w:val="16"/>
              </w:rPr>
              <w:t>259.0</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5798A82F" w14:textId="77777777" w:rsidR="004701F4" w:rsidRPr="00A65462" w:rsidRDefault="004701F4" w:rsidP="005621E7">
            <w:pPr>
              <w:jc w:val="right"/>
              <w:rPr>
                <w:rFonts w:cstheme="minorHAnsi"/>
                <w:color w:val="000000"/>
                <w:sz w:val="16"/>
                <w:szCs w:val="16"/>
              </w:rPr>
            </w:pPr>
            <w:r w:rsidRPr="00A65462">
              <w:rPr>
                <w:color w:val="000000"/>
                <w:sz w:val="16"/>
              </w:rPr>
              <w:t>78.7</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1678E739" w14:textId="77777777" w:rsidR="004701F4" w:rsidRPr="00A65462" w:rsidRDefault="004701F4" w:rsidP="005621E7">
            <w:pPr>
              <w:jc w:val="right"/>
              <w:rPr>
                <w:rFonts w:cstheme="minorHAnsi"/>
                <w:color w:val="000000"/>
                <w:sz w:val="16"/>
                <w:szCs w:val="16"/>
              </w:rPr>
            </w:pPr>
            <w:r w:rsidRPr="00A65462">
              <w:rPr>
                <w:color w:val="000000"/>
                <w:sz w:val="16"/>
              </w:rPr>
              <w:t>-69.6</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74B2882" w14:textId="77777777" w:rsidR="004701F4" w:rsidRPr="00A65462" w:rsidRDefault="004701F4" w:rsidP="005621E7">
            <w:pPr>
              <w:jc w:val="right"/>
              <w:rPr>
                <w:rFonts w:cstheme="minorHAnsi"/>
                <w:color w:val="000000"/>
                <w:sz w:val="16"/>
                <w:szCs w:val="16"/>
              </w:rPr>
            </w:pPr>
            <w:r w:rsidRPr="00A65462">
              <w:rPr>
                <w:color w:val="000000"/>
                <w:sz w:val="16"/>
              </w:rPr>
              <w:t>0.2</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95DE2E9" w14:textId="77777777" w:rsidR="004701F4" w:rsidRPr="00A65462" w:rsidRDefault="004701F4" w:rsidP="005621E7">
            <w:pPr>
              <w:jc w:val="right"/>
              <w:rPr>
                <w:rFonts w:cstheme="minorHAnsi"/>
                <w:color w:val="000000"/>
                <w:sz w:val="16"/>
                <w:szCs w:val="16"/>
              </w:rPr>
            </w:pPr>
            <w:r w:rsidRPr="00A65462">
              <w:rPr>
                <w:color w:val="000000"/>
                <w:sz w:val="16"/>
              </w:rPr>
              <w:t>2,596.5</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1D6DCC4" w14:textId="77777777" w:rsidR="004701F4" w:rsidRPr="00A65462" w:rsidRDefault="004701F4" w:rsidP="005621E7">
            <w:pPr>
              <w:jc w:val="right"/>
              <w:rPr>
                <w:rFonts w:cstheme="minorHAnsi"/>
                <w:color w:val="000000"/>
                <w:sz w:val="16"/>
                <w:szCs w:val="16"/>
              </w:rPr>
            </w:pPr>
            <w:r w:rsidRPr="00A65462">
              <w:rPr>
                <w:color w:val="000000"/>
                <w:sz w:val="16"/>
              </w:rPr>
              <w:t>1,298.7</w:t>
            </w:r>
          </w:p>
        </w:tc>
        <w:tc>
          <w:tcPr>
            <w:tcW w:w="639" w:type="dxa"/>
            <w:tcBorders>
              <w:top w:val="nil"/>
              <w:left w:val="nil"/>
              <w:bottom w:val="single" w:sz="4" w:space="0" w:color="FFFFFF" w:themeColor="background1"/>
              <w:right w:val="nil"/>
            </w:tcBorders>
            <w:shd w:val="clear" w:color="auto" w:fill="auto"/>
            <w:noWrap/>
            <w:vAlign w:val="bottom"/>
            <w:hideMark/>
          </w:tcPr>
          <w:p w14:paraId="2ADFEFB2" w14:textId="77777777" w:rsidR="004701F4" w:rsidRPr="00A65462" w:rsidRDefault="004701F4" w:rsidP="005621E7">
            <w:pPr>
              <w:jc w:val="right"/>
              <w:rPr>
                <w:rFonts w:cstheme="minorHAnsi"/>
                <w:color w:val="000000"/>
                <w:sz w:val="16"/>
                <w:szCs w:val="16"/>
              </w:rPr>
            </w:pPr>
            <w:r w:rsidRPr="00A65462">
              <w:rPr>
                <w:color w:val="000000"/>
                <w:sz w:val="16"/>
              </w:rPr>
              <w:t>-50.0</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BFB44BF" w14:textId="77777777" w:rsidR="004701F4" w:rsidRPr="00A65462" w:rsidRDefault="004701F4" w:rsidP="005621E7">
            <w:pPr>
              <w:jc w:val="right"/>
              <w:rPr>
                <w:rFonts w:cstheme="minorHAnsi"/>
                <w:color w:val="000000"/>
                <w:sz w:val="16"/>
                <w:szCs w:val="16"/>
              </w:rPr>
            </w:pPr>
            <w:r w:rsidRPr="00A65462">
              <w:rPr>
                <w:color w:val="000000"/>
                <w:sz w:val="16"/>
              </w:rPr>
              <w:t>1,649.6</w:t>
            </w:r>
          </w:p>
        </w:tc>
      </w:tr>
      <w:tr w:rsidR="004701F4" w:rsidRPr="00A65462" w14:paraId="2952ADEA"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2CC2F4BE" w14:textId="77777777" w:rsidR="004701F4" w:rsidRPr="00A65462" w:rsidRDefault="004701F4" w:rsidP="005621E7">
            <w:pPr>
              <w:rPr>
                <w:rFonts w:cstheme="minorHAnsi"/>
                <w:color w:val="000000"/>
                <w:sz w:val="16"/>
                <w:szCs w:val="16"/>
              </w:rPr>
            </w:pPr>
            <w:r w:rsidRPr="00A65462">
              <w:rPr>
                <w:color w:val="000000"/>
                <w:sz w:val="16"/>
              </w:rPr>
              <w:t>Australia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E33F763"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3AA66D0D" w14:textId="77777777" w:rsidR="004701F4" w:rsidRPr="00A65462" w:rsidRDefault="004701F4" w:rsidP="005621E7">
            <w:pPr>
              <w:jc w:val="right"/>
              <w:rPr>
                <w:rFonts w:cstheme="minorHAnsi"/>
                <w:color w:val="000000"/>
                <w:sz w:val="16"/>
                <w:szCs w:val="16"/>
              </w:rPr>
            </w:pPr>
            <w:r w:rsidRPr="00A65462">
              <w:rPr>
                <w:color w:val="000000"/>
                <w:sz w:val="16"/>
              </w:rPr>
              <w:t>17.4</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1DB26EA1" w14:textId="77777777" w:rsidR="004701F4" w:rsidRPr="00A65462" w:rsidRDefault="004701F4" w:rsidP="005621E7">
            <w:pPr>
              <w:jc w:val="right"/>
              <w:rPr>
                <w:rFonts w:cstheme="minorHAnsi"/>
                <w:color w:val="000000"/>
                <w:sz w:val="16"/>
                <w:szCs w:val="16"/>
              </w:rPr>
            </w:pPr>
            <w:r w:rsidRPr="00A65462">
              <w:rPr>
                <w:color w:val="000000"/>
                <w:sz w:val="16"/>
              </w:rPr>
              <w:t>148.3</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14AE756" w14:textId="77777777" w:rsidR="004701F4" w:rsidRPr="00A65462" w:rsidRDefault="004701F4" w:rsidP="005621E7">
            <w:pPr>
              <w:jc w:val="right"/>
              <w:rPr>
                <w:rFonts w:cstheme="minorHAnsi"/>
                <w:color w:val="000000"/>
                <w:sz w:val="16"/>
                <w:szCs w:val="16"/>
              </w:rPr>
            </w:pPr>
            <w:r w:rsidRPr="00A65462">
              <w:rPr>
                <w:color w:val="000000"/>
                <w:sz w:val="16"/>
              </w:rPr>
              <w:t>750.4</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199A7B6" w14:textId="77777777" w:rsidR="004701F4" w:rsidRPr="00A65462" w:rsidRDefault="004701F4" w:rsidP="005621E7">
            <w:pPr>
              <w:jc w:val="right"/>
              <w:rPr>
                <w:rFonts w:cstheme="minorHAnsi"/>
                <w:color w:val="000000"/>
                <w:sz w:val="16"/>
                <w:szCs w:val="16"/>
              </w:rPr>
            </w:pPr>
            <w:r w:rsidRPr="00A65462">
              <w:rPr>
                <w:color w:val="000000"/>
                <w:sz w:val="16"/>
              </w:rPr>
              <w:t>0.2</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EC39FF2" w14:textId="77777777" w:rsidR="004701F4" w:rsidRPr="00A65462" w:rsidRDefault="004701F4" w:rsidP="005621E7">
            <w:pPr>
              <w:jc w:val="right"/>
              <w:rPr>
                <w:rFonts w:cstheme="minorHAnsi"/>
                <w:color w:val="000000"/>
                <w:sz w:val="16"/>
                <w:szCs w:val="16"/>
              </w:rPr>
            </w:pPr>
            <w:r w:rsidRPr="00A65462">
              <w:rPr>
                <w:color w:val="000000"/>
                <w:sz w:val="16"/>
              </w:rPr>
              <w:t>3,599.2</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1DBF4E9" w14:textId="77777777" w:rsidR="004701F4" w:rsidRPr="00A65462" w:rsidRDefault="004701F4" w:rsidP="005621E7">
            <w:pPr>
              <w:jc w:val="right"/>
              <w:rPr>
                <w:rFonts w:cstheme="minorHAnsi"/>
                <w:color w:val="000000"/>
                <w:sz w:val="16"/>
                <w:szCs w:val="16"/>
              </w:rPr>
            </w:pPr>
            <w:r w:rsidRPr="00A65462">
              <w:rPr>
                <w:color w:val="000000"/>
                <w:sz w:val="16"/>
              </w:rPr>
              <w:t>1,451.8</w:t>
            </w:r>
          </w:p>
        </w:tc>
        <w:tc>
          <w:tcPr>
            <w:tcW w:w="639" w:type="dxa"/>
            <w:tcBorders>
              <w:top w:val="nil"/>
              <w:left w:val="nil"/>
              <w:bottom w:val="single" w:sz="4" w:space="0" w:color="FFFFFF" w:themeColor="background1"/>
              <w:right w:val="nil"/>
            </w:tcBorders>
            <w:shd w:val="clear" w:color="auto" w:fill="auto"/>
            <w:noWrap/>
            <w:vAlign w:val="bottom"/>
            <w:hideMark/>
          </w:tcPr>
          <w:p w14:paraId="2E4F5AFF" w14:textId="77777777" w:rsidR="004701F4" w:rsidRPr="00A65462" w:rsidRDefault="004701F4" w:rsidP="005621E7">
            <w:pPr>
              <w:jc w:val="right"/>
              <w:rPr>
                <w:rFonts w:cstheme="minorHAnsi"/>
                <w:color w:val="000000"/>
                <w:sz w:val="16"/>
                <w:szCs w:val="16"/>
              </w:rPr>
            </w:pPr>
            <w:r w:rsidRPr="00A65462">
              <w:rPr>
                <w:color w:val="000000"/>
                <w:sz w:val="16"/>
              </w:rPr>
              <w:t>-59.7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562C600" w14:textId="77777777" w:rsidR="004701F4" w:rsidRPr="00A65462" w:rsidRDefault="004701F4" w:rsidP="005621E7">
            <w:pPr>
              <w:jc w:val="right"/>
              <w:rPr>
                <w:rFonts w:cstheme="minorHAnsi"/>
                <w:color w:val="000000"/>
                <w:sz w:val="16"/>
                <w:szCs w:val="16"/>
              </w:rPr>
            </w:pPr>
            <w:r w:rsidRPr="00A65462">
              <w:rPr>
                <w:color w:val="000000"/>
                <w:sz w:val="16"/>
              </w:rPr>
              <w:t>979.2</w:t>
            </w:r>
          </w:p>
        </w:tc>
      </w:tr>
      <w:tr w:rsidR="004701F4" w:rsidRPr="00A65462" w14:paraId="1171AA06"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63E6C186" w14:textId="77777777" w:rsidR="004701F4" w:rsidRPr="00A65462" w:rsidRDefault="004701F4" w:rsidP="005621E7">
            <w:pPr>
              <w:rPr>
                <w:rFonts w:cstheme="minorHAnsi"/>
                <w:color w:val="000000"/>
                <w:sz w:val="16"/>
                <w:szCs w:val="16"/>
              </w:rPr>
            </w:pPr>
            <w:r w:rsidRPr="00A65462">
              <w:rPr>
                <w:color w:val="000000"/>
                <w:sz w:val="16"/>
              </w:rPr>
              <w:t>Israel</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69B1184" w14:textId="77777777" w:rsidR="004701F4" w:rsidRPr="00A65462" w:rsidRDefault="004701F4" w:rsidP="005621E7">
            <w:pPr>
              <w:jc w:val="right"/>
              <w:rPr>
                <w:rFonts w:cstheme="minorHAnsi"/>
                <w:color w:val="000000"/>
                <w:sz w:val="16"/>
                <w:szCs w:val="16"/>
              </w:rPr>
            </w:pPr>
            <w:r w:rsidRPr="00A65462">
              <w:rPr>
                <w:color w:val="000000"/>
                <w:sz w:val="16"/>
              </w:rPr>
              <w:t>0.3</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25FBB4A5" w14:textId="77777777" w:rsidR="004701F4" w:rsidRPr="00A65462" w:rsidRDefault="004701F4" w:rsidP="005621E7">
            <w:pPr>
              <w:jc w:val="right"/>
              <w:rPr>
                <w:rFonts w:cstheme="minorHAnsi"/>
                <w:color w:val="000000"/>
                <w:sz w:val="16"/>
                <w:szCs w:val="16"/>
              </w:rPr>
            </w:pPr>
            <w:r w:rsidRPr="00A65462">
              <w:rPr>
                <w:color w:val="000000"/>
                <w:sz w:val="16"/>
              </w:rPr>
              <w:t>3,693.0</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444DE08D" w14:textId="77777777" w:rsidR="004701F4" w:rsidRPr="00A65462" w:rsidRDefault="004701F4" w:rsidP="005621E7">
            <w:pPr>
              <w:jc w:val="right"/>
              <w:rPr>
                <w:rFonts w:cstheme="minorHAnsi"/>
                <w:color w:val="000000"/>
                <w:sz w:val="16"/>
                <w:szCs w:val="16"/>
              </w:rPr>
            </w:pPr>
            <w:r w:rsidRPr="00A65462">
              <w:rPr>
                <w:color w:val="000000"/>
                <w:sz w:val="16"/>
              </w:rPr>
              <w:t>3,355.9</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AAC6D6A" w14:textId="77777777" w:rsidR="004701F4" w:rsidRPr="00A65462" w:rsidRDefault="004701F4" w:rsidP="005621E7">
            <w:pPr>
              <w:jc w:val="right"/>
              <w:rPr>
                <w:rFonts w:cstheme="minorHAnsi"/>
                <w:color w:val="000000"/>
                <w:sz w:val="16"/>
                <w:szCs w:val="16"/>
              </w:rPr>
            </w:pPr>
            <w:r w:rsidRPr="00A65462">
              <w:rPr>
                <w:color w:val="000000"/>
                <w:sz w:val="16"/>
              </w:rPr>
              <w:t>-9.1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3EE86CD" w14:textId="77777777" w:rsidR="004701F4" w:rsidRPr="00A65462" w:rsidRDefault="004701F4" w:rsidP="005621E7">
            <w:pPr>
              <w:jc w:val="right"/>
              <w:rPr>
                <w:rFonts w:cstheme="minorHAnsi"/>
                <w:color w:val="000000"/>
                <w:sz w:val="16"/>
                <w:szCs w:val="16"/>
              </w:rPr>
            </w:pPr>
            <w:r w:rsidRPr="00A65462">
              <w:rPr>
                <w:color w:val="000000"/>
                <w:sz w:val="16"/>
              </w:rPr>
              <w:t>0.5</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0B633BA" w14:textId="77777777" w:rsidR="004701F4" w:rsidRPr="00A65462" w:rsidRDefault="004701F4" w:rsidP="005621E7">
            <w:pPr>
              <w:jc w:val="right"/>
              <w:rPr>
                <w:rFonts w:cstheme="minorHAnsi"/>
                <w:color w:val="000000"/>
                <w:sz w:val="16"/>
                <w:szCs w:val="16"/>
              </w:rPr>
            </w:pPr>
            <w:r w:rsidRPr="00A65462">
              <w:rPr>
                <w:color w:val="000000"/>
                <w:sz w:val="16"/>
              </w:rPr>
              <w:t>2,375.9</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8EB2476" w14:textId="77777777" w:rsidR="004701F4" w:rsidRPr="00A65462" w:rsidRDefault="004701F4" w:rsidP="005621E7">
            <w:pPr>
              <w:jc w:val="right"/>
              <w:rPr>
                <w:rFonts w:cstheme="minorHAnsi"/>
                <w:color w:val="000000"/>
                <w:sz w:val="16"/>
                <w:szCs w:val="16"/>
              </w:rPr>
            </w:pPr>
            <w:r w:rsidRPr="00A65462">
              <w:rPr>
                <w:color w:val="000000"/>
                <w:sz w:val="16"/>
              </w:rPr>
              <w:t>4,389.7</w:t>
            </w:r>
          </w:p>
        </w:tc>
        <w:tc>
          <w:tcPr>
            <w:tcW w:w="639" w:type="dxa"/>
            <w:tcBorders>
              <w:top w:val="nil"/>
              <w:left w:val="nil"/>
              <w:bottom w:val="single" w:sz="4" w:space="0" w:color="FFFFFF" w:themeColor="background1"/>
              <w:right w:val="nil"/>
            </w:tcBorders>
            <w:shd w:val="clear" w:color="auto" w:fill="auto"/>
            <w:noWrap/>
            <w:vAlign w:val="bottom"/>
            <w:hideMark/>
          </w:tcPr>
          <w:p w14:paraId="4FE29E0E" w14:textId="77777777" w:rsidR="004701F4" w:rsidRPr="00A65462" w:rsidRDefault="004701F4" w:rsidP="005621E7">
            <w:pPr>
              <w:jc w:val="right"/>
              <w:rPr>
                <w:rFonts w:cstheme="minorHAnsi"/>
                <w:color w:val="000000"/>
                <w:sz w:val="16"/>
                <w:szCs w:val="16"/>
              </w:rPr>
            </w:pPr>
            <w:r w:rsidRPr="00A65462">
              <w:rPr>
                <w:color w:val="000000"/>
                <w:sz w:val="16"/>
              </w:rPr>
              <w:t>84.8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3D65B19" w14:textId="77777777" w:rsidR="004701F4" w:rsidRPr="00A65462" w:rsidRDefault="004701F4" w:rsidP="005621E7">
            <w:pPr>
              <w:jc w:val="right"/>
              <w:rPr>
                <w:rFonts w:cstheme="minorHAnsi"/>
                <w:color w:val="000000"/>
                <w:sz w:val="16"/>
                <w:szCs w:val="16"/>
              </w:rPr>
            </w:pPr>
            <w:r w:rsidRPr="00A65462">
              <w:rPr>
                <w:color w:val="000000"/>
                <w:sz w:val="16"/>
              </w:rPr>
              <w:t>130.8</w:t>
            </w:r>
          </w:p>
        </w:tc>
      </w:tr>
      <w:tr w:rsidR="004701F4" w:rsidRPr="00A65462" w14:paraId="5620E8EA"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509456C9" w14:textId="77777777" w:rsidR="004701F4" w:rsidRPr="00A65462" w:rsidRDefault="004701F4" w:rsidP="005621E7">
            <w:pPr>
              <w:rPr>
                <w:rFonts w:cstheme="minorHAnsi"/>
                <w:color w:val="000000"/>
                <w:sz w:val="16"/>
                <w:szCs w:val="16"/>
              </w:rPr>
            </w:pPr>
            <w:r w:rsidRPr="00A65462">
              <w:rPr>
                <w:color w:val="000000"/>
                <w:sz w:val="16"/>
              </w:rPr>
              <w:t>Singapore</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5D2361B"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4C72A8E3" w14:textId="77777777" w:rsidR="004701F4" w:rsidRPr="00A65462" w:rsidRDefault="004701F4" w:rsidP="005621E7">
            <w:pPr>
              <w:jc w:val="right"/>
              <w:rPr>
                <w:rFonts w:cstheme="minorHAnsi"/>
                <w:color w:val="000000"/>
                <w:sz w:val="16"/>
                <w:szCs w:val="16"/>
              </w:rPr>
            </w:pPr>
            <w:r w:rsidRPr="00A65462">
              <w:rPr>
                <w:color w:val="000000"/>
                <w:sz w:val="16"/>
              </w:rPr>
              <w:t>0.8</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65C5E8B3" w14:textId="77777777" w:rsidR="004701F4" w:rsidRPr="00A65462" w:rsidRDefault="004701F4" w:rsidP="005621E7">
            <w:pPr>
              <w:jc w:val="right"/>
              <w:rPr>
                <w:rFonts w:cstheme="minorHAnsi"/>
                <w:color w:val="000000"/>
                <w:sz w:val="16"/>
                <w:szCs w:val="16"/>
              </w:rPr>
            </w:pPr>
            <w:r w:rsidRPr="00A65462">
              <w:rPr>
                <w:color w:val="000000"/>
                <w:sz w:val="16"/>
              </w:rPr>
              <w:t>87.6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47D0BDE" w14:textId="77777777" w:rsidR="004701F4" w:rsidRPr="00A65462" w:rsidRDefault="004701F4" w:rsidP="005621E7">
            <w:pPr>
              <w:jc w:val="right"/>
              <w:rPr>
                <w:rFonts w:cstheme="minorHAnsi"/>
                <w:color w:val="000000"/>
                <w:sz w:val="16"/>
                <w:szCs w:val="16"/>
              </w:rPr>
            </w:pPr>
            <w:r w:rsidRPr="00A65462">
              <w:rPr>
                <w:color w:val="000000"/>
                <w:sz w:val="16"/>
              </w:rPr>
              <w:t>10,934.0</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C3D329D"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2CBB1B0" w14:textId="77777777" w:rsidR="004701F4" w:rsidRPr="00A65462" w:rsidRDefault="004701F4" w:rsidP="005621E7">
            <w:pPr>
              <w:jc w:val="right"/>
              <w:rPr>
                <w:rFonts w:cstheme="minorHAnsi"/>
                <w:color w:val="000000"/>
                <w:sz w:val="16"/>
                <w:szCs w:val="16"/>
              </w:rPr>
            </w:pPr>
            <w:r w:rsidRPr="00A65462">
              <w:rPr>
                <w:color w:val="000000"/>
                <w:sz w:val="16"/>
              </w:rPr>
              <w:t>2,002.4</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B6C8221" w14:textId="77777777" w:rsidR="004701F4" w:rsidRPr="00A65462" w:rsidRDefault="004701F4" w:rsidP="005621E7">
            <w:pPr>
              <w:jc w:val="right"/>
              <w:rPr>
                <w:rFonts w:cstheme="minorHAnsi"/>
                <w:color w:val="000000"/>
                <w:sz w:val="16"/>
                <w:szCs w:val="16"/>
              </w:rPr>
            </w:pPr>
            <w:r w:rsidRPr="00A65462">
              <w:rPr>
                <w:color w:val="000000"/>
                <w:sz w:val="16"/>
              </w:rPr>
              <w:t>471.2</w:t>
            </w:r>
          </w:p>
        </w:tc>
        <w:tc>
          <w:tcPr>
            <w:tcW w:w="639" w:type="dxa"/>
            <w:tcBorders>
              <w:top w:val="nil"/>
              <w:left w:val="nil"/>
              <w:bottom w:val="single" w:sz="4" w:space="0" w:color="FFFFFF" w:themeColor="background1"/>
              <w:right w:val="nil"/>
            </w:tcBorders>
            <w:shd w:val="clear" w:color="auto" w:fill="auto"/>
            <w:noWrap/>
            <w:vAlign w:val="bottom"/>
            <w:hideMark/>
          </w:tcPr>
          <w:p w14:paraId="3CC919FC" w14:textId="77777777" w:rsidR="004701F4" w:rsidRPr="00A65462" w:rsidRDefault="004701F4" w:rsidP="005621E7">
            <w:pPr>
              <w:jc w:val="right"/>
              <w:rPr>
                <w:rFonts w:cstheme="minorHAnsi"/>
                <w:color w:val="000000"/>
                <w:sz w:val="16"/>
                <w:szCs w:val="16"/>
              </w:rPr>
            </w:pPr>
            <w:r w:rsidRPr="00A65462">
              <w:rPr>
                <w:color w:val="000000"/>
                <w:sz w:val="16"/>
              </w:rPr>
              <w:t>-76.5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9F6A4E7" w14:textId="77777777" w:rsidR="004701F4" w:rsidRPr="00A65462" w:rsidRDefault="004701F4" w:rsidP="005621E7">
            <w:pPr>
              <w:jc w:val="right"/>
              <w:rPr>
                <w:rFonts w:cstheme="minorHAnsi"/>
                <w:color w:val="000000"/>
                <w:sz w:val="16"/>
                <w:szCs w:val="16"/>
              </w:rPr>
            </w:pPr>
            <w:r w:rsidRPr="00A65462">
              <w:rPr>
                <w:color w:val="000000"/>
                <w:sz w:val="16"/>
              </w:rPr>
              <w:t>537.9</w:t>
            </w:r>
          </w:p>
        </w:tc>
      </w:tr>
      <w:tr w:rsidR="004701F4" w:rsidRPr="00A65462" w14:paraId="1FD3D7DD"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47943F49" w14:textId="77777777" w:rsidR="004701F4" w:rsidRPr="00A65462" w:rsidRDefault="004701F4" w:rsidP="005621E7">
            <w:pPr>
              <w:rPr>
                <w:rFonts w:cstheme="minorHAnsi"/>
                <w:color w:val="000000"/>
                <w:sz w:val="16"/>
                <w:szCs w:val="16"/>
              </w:rPr>
            </w:pPr>
            <w:r w:rsidRPr="00A65462">
              <w:rPr>
                <w:color w:val="000000"/>
                <w:sz w:val="16"/>
              </w:rPr>
              <w:t>China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D4CAB0A" w14:textId="77777777" w:rsidR="004701F4" w:rsidRPr="00A65462" w:rsidRDefault="004701F4" w:rsidP="005621E7">
            <w:pPr>
              <w:jc w:val="right"/>
              <w:rPr>
                <w:rFonts w:cstheme="minorHAnsi"/>
                <w:color w:val="000000"/>
                <w:sz w:val="16"/>
                <w:szCs w:val="16"/>
              </w:rPr>
            </w:pPr>
            <w:r w:rsidRPr="00A65462">
              <w:rPr>
                <w:color w:val="000000"/>
                <w:sz w:val="16"/>
              </w:rPr>
              <w:t>24.8</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214A581B" w14:textId="77777777" w:rsidR="004701F4" w:rsidRPr="00A65462" w:rsidRDefault="004701F4" w:rsidP="005621E7">
            <w:pPr>
              <w:jc w:val="right"/>
              <w:rPr>
                <w:rFonts w:cstheme="minorHAnsi"/>
                <w:color w:val="000000"/>
                <w:sz w:val="16"/>
                <w:szCs w:val="16"/>
              </w:rPr>
            </w:pPr>
            <w:r w:rsidRPr="00A65462">
              <w:rPr>
                <w:color w:val="000000"/>
                <w:sz w:val="16"/>
              </w:rPr>
              <w:t>435,104.5</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3C22C380" w14:textId="77777777" w:rsidR="004701F4" w:rsidRPr="00A65462" w:rsidRDefault="004701F4" w:rsidP="005621E7">
            <w:pPr>
              <w:jc w:val="right"/>
              <w:rPr>
                <w:rFonts w:cstheme="minorHAnsi"/>
                <w:color w:val="000000"/>
                <w:sz w:val="16"/>
                <w:szCs w:val="16"/>
              </w:rPr>
            </w:pPr>
            <w:r w:rsidRPr="00A65462">
              <w:rPr>
                <w:color w:val="000000"/>
                <w:sz w:val="16"/>
              </w:rPr>
              <w:t>302,056.0</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1CB2C81D" w14:textId="77777777" w:rsidR="004701F4" w:rsidRPr="00A65462" w:rsidRDefault="004701F4" w:rsidP="005621E7">
            <w:pPr>
              <w:jc w:val="right"/>
              <w:rPr>
                <w:rFonts w:cstheme="minorHAnsi"/>
                <w:color w:val="000000"/>
                <w:sz w:val="16"/>
                <w:szCs w:val="16"/>
              </w:rPr>
            </w:pPr>
            <w:r w:rsidRPr="00A65462">
              <w:rPr>
                <w:color w:val="000000"/>
                <w:sz w:val="16"/>
              </w:rPr>
              <w:t>-30.6</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1B3C65F" w14:textId="77777777" w:rsidR="004701F4" w:rsidRPr="00A65462" w:rsidRDefault="004701F4" w:rsidP="005621E7">
            <w:pPr>
              <w:jc w:val="right"/>
              <w:rPr>
                <w:rFonts w:cstheme="minorHAnsi"/>
                <w:color w:val="000000"/>
                <w:sz w:val="16"/>
                <w:szCs w:val="16"/>
              </w:rPr>
            </w:pPr>
            <w:r w:rsidRPr="00A65462">
              <w:rPr>
                <w:color w:val="000000"/>
                <w:sz w:val="16"/>
              </w:rPr>
              <w:t>0.2</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8CDE914" w14:textId="77777777" w:rsidR="004701F4" w:rsidRPr="00A65462" w:rsidRDefault="004701F4" w:rsidP="005621E7">
            <w:pPr>
              <w:jc w:val="right"/>
              <w:rPr>
                <w:rFonts w:cstheme="minorHAnsi"/>
                <w:color w:val="000000"/>
                <w:sz w:val="16"/>
                <w:szCs w:val="16"/>
              </w:rPr>
            </w:pPr>
            <w:r w:rsidRPr="00A65462">
              <w:rPr>
                <w:color w:val="000000"/>
                <w:sz w:val="16"/>
              </w:rPr>
              <w:t>1,646.3</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E737171" w14:textId="77777777" w:rsidR="004701F4" w:rsidRPr="00A65462" w:rsidRDefault="004701F4" w:rsidP="005621E7">
            <w:pPr>
              <w:jc w:val="right"/>
              <w:rPr>
                <w:rFonts w:cstheme="minorHAnsi"/>
                <w:color w:val="000000"/>
                <w:sz w:val="16"/>
                <w:szCs w:val="16"/>
              </w:rPr>
            </w:pPr>
            <w:r w:rsidRPr="00A65462">
              <w:rPr>
                <w:color w:val="000000"/>
                <w:sz w:val="16"/>
              </w:rPr>
              <w:t>1,736.7</w:t>
            </w:r>
          </w:p>
        </w:tc>
        <w:tc>
          <w:tcPr>
            <w:tcW w:w="639" w:type="dxa"/>
            <w:tcBorders>
              <w:top w:val="nil"/>
              <w:left w:val="nil"/>
              <w:bottom w:val="single" w:sz="4" w:space="0" w:color="FFFFFF" w:themeColor="background1"/>
              <w:right w:val="nil"/>
            </w:tcBorders>
            <w:shd w:val="clear" w:color="auto" w:fill="auto"/>
            <w:noWrap/>
            <w:vAlign w:val="bottom"/>
            <w:hideMark/>
          </w:tcPr>
          <w:p w14:paraId="3DD3D956" w14:textId="77777777" w:rsidR="004701F4" w:rsidRPr="00A65462" w:rsidRDefault="004701F4" w:rsidP="005621E7">
            <w:pPr>
              <w:jc w:val="right"/>
              <w:rPr>
                <w:rFonts w:cstheme="minorHAnsi"/>
                <w:color w:val="000000"/>
                <w:sz w:val="16"/>
                <w:szCs w:val="16"/>
              </w:rPr>
            </w:pPr>
            <w:r w:rsidRPr="00A65462">
              <w:rPr>
                <w:color w:val="000000"/>
                <w:sz w:val="16"/>
              </w:rPr>
              <w:t>5.5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345978E" w14:textId="77777777" w:rsidR="004701F4" w:rsidRPr="00A65462" w:rsidRDefault="004701F4" w:rsidP="005621E7">
            <w:pPr>
              <w:jc w:val="right"/>
              <w:rPr>
                <w:rFonts w:cstheme="minorHAnsi"/>
                <w:color w:val="000000"/>
                <w:sz w:val="16"/>
                <w:szCs w:val="16"/>
              </w:rPr>
            </w:pPr>
            <w:r w:rsidRPr="00A65462">
              <w:rPr>
                <w:color w:val="000000"/>
                <w:sz w:val="16"/>
              </w:rPr>
              <w:t>0.6</w:t>
            </w:r>
          </w:p>
        </w:tc>
      </w:tr>
      <w:tr w:rsidR="004701F4" w:rsidRPr="00A65462" w14:paraId="3FA68C72"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1D0CF263" w14:textId="77777777" w:rsidR="004701F4" w:rsidRPr="00A65462" w:rsidRDefault="004701F4" w:rsidP="005621E7">
            <w:pPr>
              <w:rPr>
                <w:rFonts w:cstheme="minorHAnsi"/>
                <w:color w:val="000000"/>
                <w:sz w:val="16"/>
                <w:szCs w:val="16"/>
              </w:rPr>
            </w:pPr>
            <w:r w:rsidRPr="00A65462">
              <w:rPr>
                <w:color w:val="000000"/>
                <w:sz w:val="16"/>
              </w:rPr>
              <w:t>Hong Kong</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4BB73D1"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7656E713" w14:textId="77777777" w:rsidR="004701F4" w:rsidRPr="00A65462" w:rsidRDefault="004701F4" w:rsidP="005621E7">
            <w:pPr>
              <w:jc w:val="right"/>
              <w:rPr>
                <w:rFonts w:cstheme="minorHAnsi"/>
                <w:color w:val="000000"/>
                <w:sz w:val="16"/>
                <w:szCs w:val="16"/>
              </w:rPr>
            </w:pPr>
            <w:r w:rsidRPr="00A65462">
              <w:rPr>
                <w:color w:val="000000"/>
                <w:sz w:val="16"/>
              </w:rPr>
              <w:t>602.4</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7EEBAF0C" w14:textId="77777777" w:rsidR="004701F4" w:rsidRPr="00A65462" w:rsidRDefault="004701F4" w:rsidP="005621E7">
            <w:pPr>
              <w:jc w:val="right"/>
              <w:rPr>
                <w:rFonts w:cstheme="minorHAnsi"/>
                <w:color w:val="000000"/>
                <w:sz w:val="16"/>
                <w:szCs w:val="16"/>
              </w:rPr>
            </w:pPr>
            <w:r w:rsidRPr="00A65462">
              <w:rPr>
                <w:color w:val="000000"/>
                <w:sz w:val="16"/>
              </w:rPr>
              <w:t>692.5</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2A755F9" w14:textId="77777777" w:rsidR="004701F4" w:rsidRPr="00A65462" w:rsidRDefault="004701F4" w:rsidP="005621E7">
            <w:pPr>
              <w:jc w:val="right"/>
              <w:rPr>
                <w:rFonts w:cstheme="minorHAnsi"/>
                <w:color w:val="000000"/>
                <w:sz w:val="16"/>
                <w:szCs w:val="16"/>
              </w:rPr>
            </w:pPr>
            <w:r w:rsidRPr="00A65462">
              <w:rPr>
                <w:color w:val="000000"/>
                <w:sz w:val="16"/>
              </w:rPr>
              <w:t>15.0</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899F99D"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609D2CE" w14:textId="77777777" w:rsidR="004701F4" w:rsidRPr="00A65462" w:rsidRDefault="004701F4" w:rsidP="005621E7">
            <w:pPr>
              <w:jc w:val="right"/>
              <w:rPr>
                <w:rFonts w:cstheme="minorHAnsi"/>
                <w:color w:val="000000"/>
                <w:sz w:val="16"/>
                <w:szCs w:val="16"/>
              </w:rPr>
            </w:pPr>
            <w:r w:rsidRPr="00A65462">
              <w:rPr>
                <w:color w:val="000000"/>
                <w:sz w:val="16"/>
              </w:rPr>
              <w:t>583.8</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1E8E959" w14:textId="77777777" w:rsidR="004701F4" w:rsidRPr="00A65462" w:rsidRDefault="004701F4" w:rsidP="005621E7">
            <w:pPr>
              <w:jc w:val="right"/>
              <w:rPr>
                <w:rFonts w:cstheme="minorHAnsi"/>
                <w:color w:val="000000"/>
                <w:sz w:val="16"/>
                <w:szCs w:val="16"/>
              </w:rPr>
            </w:pPr>
            <w:r w:rsidRPr="00A65462">
              <w:rPr>
                <w:color w:val="000000"/>
                <w:sz w:val="16"/>
              </w:rPr>
              <w:t>822.7</w:t>
            </w:r>
          </w:p>
        </w:tc>
        <w:tc>
          <w:tcPr>
            <w:tcW w:w="639" w:type="dxa"/>
            <w:tcBorders>
              <w:top w:val="nil"/>
              <w:left w:val="nil"/>
              <w:bottom w:val="single" w:sz="4" w:space="0" w:color="FFFFFF" w:themeColor="background1"/>
              <w:right w:val="nil"/>
            </w:tcBorders>
            <w:shd w:val="clear" w:color="auto" w:fill="auto"/>
            <w:noWrap/>
            <w:vAlign w:val="bottom"/>
            <w:hideMark/>
          </w:tcPr>
          <w:p w14:paraId="3F4CE43B" w14:textId="77777777" w:rsidR="004701F4" w:rsidRPr="00A65462" w:rsidRDefault="004701F4" w:rsidP="005621E7">
            <w:pPr>
              <w:jc w:val="right"/>
              <w:rPr>
                <w:rFonts w:cstheme="minorHAnsi"/>
                <w:color w:val="000000"/>
                <w:sz w:val="16"/>
                <w:szCs w:val="16"/>
              </w:rPr>
            </w:pPr>
            <w:r w:rsidRPr="00A65462">
              <w:rPr>
                <w:color w:val="000000"/>
                <w:sz w:val="16"/>
              </w:rPr>
              <w:t>40.9</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3DC90AA" w14:textId="77777777" w:rsidR="004701F4" w:rsidRPr="00A65462" w:rsidRDefault="004701F4" w:rsidP="005621E7">
            <w:pPr>
              <w:jc w:val="right"/>
              <w:rPr>
                <w:rFonts w:cstheme="minorHAnsi"/>
                <w:color w:val="000000"/>
                <w:sz w:val="16"/>
                <w:szCs w:val="16"/>
              </w:rPr>
            </w:pPr>
            <w:r w:rsidRPr="00A65462">
              <w:rPr>
                <w:color w:val="000000"/>
                <w:sz w:val="16"/>
              </w:rPr>
              <w:t>118.8</w:t>
            </w:r>
          </w:p>
        </w:tc>
      </w:tr>
      <w:tr w:rsidR="004701F4" w:rsidRPr="00A65462" w14:paraId="456CDC6E"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7366BE36" w14:textId="77777777" w:rsidR="004701F4" w:rsidRPr="00A65462" w:rsidRDefault="004701F4" w:rsidP="005621E7">
            <w:pPr>
              <w:rPr>
                <w:rFonts w:cstheme="minorHAnsi"/>
                <w:color w:val="000000"/>
                <w:sz w:val="16"/>
                <w:szCs w:val="16"/>
              </w:rPr>
            </w:pPr>
            <w:r w:rsidRPr="00A65462">
              <w:rPr>
                <w:color w:val="000000"/>
                <w:sz w:val="16"/>
              </w:rPr>
              <w:t>Turkey</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79C24CA" w14:textId="77777777" w:rsidR="004701F4" w:rsidRPr="00A65462" w:rsidRDefault="004701F4" w:rsidP="005621E7">
            <w:pPr>
              <w:jc w:val="right"/>
              <w:rPr>
                <w:rFonts w:cstheme="minorHAnsi"/>
                <w:color w:val="000000"/>
                <w:sz w:val="16"/>
                <w:szCs w:val="16"/>
              </w:rPr>
            </w:pPr>
            <w:r w:rsidRPr="00A65462">
              <w:rPr>
                <w:color w:val="000000"/>
                <w:sz w:val="16"/>
              </w:rPr>
              <w:t>3.8</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4C3C26EF" w14:textId="77777777" w:rsidR="004701F4" w:rsidRPr="00A65462" w:rsidRDefault="004701F4" w:rsidP="005621E7">
            <w:pPr>
              <w:jc w:val="right"/>
              <w:rPr>
                <w:rFonts w:cstheme="minorHAnsi"/>
                <w:color w:val="000000"/>
                <w:sz w:val="16"/>
                <w:szCs w:val="16"/>
              </w:rPr>
            </w:pPr>
            <w:r w:rsidRPr="00A65462">
              <w:rPr>
                <w:color w:val="000000"/>
                <w:sz w:val="16"/>
              </w:rPr>
              <w:t>53,455.8</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3AAE7897" w14:textId="77777777" w:rsidR="004701F4" w:rsidRPr="00A65462" w:rsidRDefault="004701F4" w:rsidP="005621E7">
            <w:pPr>
              <w:jc w:val="right"/>
              <w:rPr>
                <w:rFonts w:cstheme="minorHAnsi"/>
                <w:color w:val="000000"/>
                <w:sz w:val="16"/>
                <w:szCs w:val="16"/>
              </w:rPr>
            </w:pPr>
            <w:r w:rsidRPr="00A65462">
              <w:rPr>
                <w:color w:val="000000"/>
                <w:sz w:val="16"/>
              </w:rPr>
              <w:t>46,790.9</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5255038F" w14:textId="77777777" w:rsidR="004701F4" w:rsidRPr="00A65462" w:rsidRDefault="004701F4" w:rsidP="005621E7">
            <w:pPr>
              <w:jc w:val="right"/>
              <w:rPr>
                <w:rFonts w:cstheme="minorHAnsi"/>
                <w:color w:val="000000"/>
                <w:sz w:val="16"/>
                <w:szCs w:val="16"/>
              </w:rPr>
            </w:pPr>
            <w:r w:rsidRPr="00A65462">
              <w:rPr>
                <w:color w:val="000000"/>
                <w:sz w:val="16"/>
              </w:rPr>
              <w:t>-12.5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2766276"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2AC16B8" w14:textId="77777777" w:rsidR="004701F4" w:rsidRPr="00A65462" w:rsidRDefault="004701F4" w:rsidP="005621E7">
            <w:pPr>
              <w:jc w:val="right"/>
              <w:rPr>
                <w:rFonts w:cstheme="minorHAnsi"/>
                <w:color w:val="000000"/>
                <w:sz w:val="16"/>
                <w:szCs w:val="16"/>
              </w:rPr>
            </w:pPr>
            <w:r w:rsidRPr="00A65462">
              <w:rPr>
                <w:color w:val="000000"/>
                <w:sz w:val="16"/>
              </w:rPr>
              <w:t>256.7</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EF0601F" w14:textId="77777777" w:rsidR="004701F4" w:rsidRPr="00A65462" w:rsidRDefault="004701F4" w:rsidP="005621E7">
            <w:pPr>
              <w:jc w:val="right"/>
              <w:rPr>
                <w:rFonts w:cstheme="minorHAnsi"/>
                <w:color w:val="000000"/>
                <w:sz w:val="16"/>
                <w:szCs w:val="16"/>
              </w:rPr>
            </w:pPr>
            <w:r w:rsidRPr="00A65462">
              <w:rPr>
                <w:color w:val="000000"/>
                <w:sz w:val="16"/>
              </w:rPr>
              <w:t>230.1</w:t>
            </w:r>
          </w:p>
        </w:tc>
        <w:tc>
          <w:tcPr>
            <w:tcW w:w="639" w:type="dxa"/>
            <w:tcBorders>
              <w:top w:val="nil"/>
              <w:left w:val="nil"/>
              <w:bottom w:val="single" w:sz="4" w:space="0" w:color="FFFFFF" w:themeColor="background1"/>
              <w:right w:val="nil"/>
            </w:tcBorders>
            <w:shd w:val="clear" w:color="auto" w:fill="auto"/>
            <w:noWrap/>
            <w:vAlign w:val="bottom"/>
            <w:hideMark/>
          </w:tcPr>
          <w:p w14:paraId="36A43F7B" w14:textId="77777777" w:rsidR="004701F4" w:rsidRPr="00A65462" w:rsidRDefault="004701F4" w:rsidP="005621E7">
            <w:pPr>
              <w:jc w:val="right"/>
              <w:rPr>
                <w:rFonts w:cstheme="minorHAnsi"/>
                <w:color w:val="000000"/>
                <w:sz w:val="16"/>
                <w:szCs w:val="16"/>
              </w:rPr>
            </w:pPr>
            <w:r w:rsidRPr="00A65462">
              <w:rPr>
                <w:color w:val="000000"/>
                <w:sz w:val="16"/>
              </w:rPr>
              <w:t>-10.4</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62430B1" w14:textId="77777777" w:rsidR="004701F4" w:rsidRPr="00A65462" w:rsidRDefault="004701F4" w:rsidP="005621E7">
            <w:pPr>
              <w:jc w:val="right"/>
              <w:rPr>
                <w:rFonts w:cstheme="minorHAnsi"/>
                <w:color w:val="000000"/>
                <w:sz w:val="16"/>
                <w:szCs w:val="16"/>
              </w:rPr>
            </w:pPr>
            <w:r w:rsidRPr="00A65462">
              <w:rPr>
                <w:color w:val="000000"/>
                <w:sz w:val="16"/>
              </w:rPr>
              <w:t>0.5</w:t>
            </w:r>
          </w:p>
        </w:tc>
      </w:tr>
      <w:tr w:rsidR="004701F4" w:rsidRPr="00A65462" w14:paraId="033D0120"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7C51318A" w14:textId="77777777" w:rsidR="004701F4" w:rsidRPr="00A65462" w:rsidRDefault="004701F4" w:rsidP="005621E7">
            <w:pPr>
              <w:rPr>
                <w:rFonts w:cstheme="minorHAnsi"/>
                <w:color w:val="000000"/>
                <w:sz w:val="16"/>
                <w:szCs w:val="16"/>
              </w:rPr>
            </w:pPr>
            <w:r w:rsidRPr="00A65462">
              <w:rPr>
                <w:color w:val="000000"/>
                <w:sz w:val="16"/>
              </w:rPr>
              <w:t>Indonesia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1E66335" w14:textId="77777777" w:rsidR="004701F4" w:rsidRPr="00A65462" w:rsidRDefault="004701F4" w:rsidP="005621E7">
            <w:pPr>
              <w:jc w:val="right"/>
              <w:rPr>
                <w:rFonts w:cstheme="minorHAnsi"/>
                <w:color w:val="000000"/>
                <w:sz w:val="16"/>
                <w:szCs w:val="16"/>
              </w:rPr>
            </w:pPr>
            <w:r w:rsidRPr="00A65462">
              <w:rPr>
                <w:color w:val="000000"/>
                <w:sz w:val="16"/>
              </w:rPr>
              <w:t>2.7</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0E78CDA3" w14:textId="77777777" w:rsidR="004701F4" w:rsidRPr="00A65462" w:rsidRDefault="004701F4" w:rsidP="005621E7">
            <w:pPr>
              <w:jc w:val="right"/>
              <w:rPr>
                <w:rFonts w:cstheme="minorHAnsi"/>
                <w:color w:val="000000"/>
                <w:sz w:val="16"/>
                <w:szCs w:val="16"/>
              </w:rPr>
            </w:pPr>
            <w:r w:rsidRPr="00A65462">
              <w:rPr>
                <w:color w:val="000000"/>
                <w:sz w:val="16"/>
              </w:rPr>
              <w:t>64,636.0</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4B759079" w14:textId="77777777" w:rsidR="004701F4" w:rsidRPr="00A65462" w:rsidRDefault="004701F4" w:rsidP="005621E7">
            <w:pPr>
              <w:jc w:val="right"/>
              <w:rPr>
                <w:rFonts w:cstheme="minorHAnsi"/>
                <w:color w:val="000000"/>
                <w:sz w:val="16"/>
                <w:szCs w:val="16"/>
              </w:rPr>
            </w:pPr>
            <w:r w:rsidRPr="00A65462">
              <w:rPr>
                <w:color w:val="000000"/>
                <w:sz w:val="16"/>
              </w:rPr>
              <w:t>32,436.7</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8345CE0" w14:textId="77777777" w:rsidR="004701F4" w:rsidRPr="00A65462" w:rsidRDefault="004701F4" w:rsidP="005621E7">
            <w:pPr>
              <w:jc w:val="right"/>
              <w:rPr>
                <w:rFonts w:cstheme="minorHAnsi"/>
                <w:color w:val="000000"/>
                <w:sz w:val="16"/>
                <w:szCs w:val="16"/>
              </w:rPr>
            </w:pPr>
            <w:r w:rsidRPr="00A65462">
              <w:rPr>
                <w:color w:val="000000"/>
                <w:sz w:val="16"/>
              </w:rPr>
              <w:t>-49.8</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BDC054C"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2C3FB45" w14:textId="77777777" w:rsidR="004701F4" w:rsidRPr="00A65462" w:rsidRDefault="004701F4" w:rsidP="005621E7">
            <w:pPr>
              <w:jc w:val="right"/>
              <w:rPr>
                <w:rFonts w:cstheme="minorHAnsi"/>
                <w:color w:val="000000"/>
                <w:sz w:val="16"/>
                <w:szCs w:val="16"/>
              </w:rPr>
            </w:pPr>
            <w:r w:rsidRPr="00A65462">
              <w:rPr>
                <w:color w:val="000000"/>
                <w:sz w:val="16"/>
              </w:rPr>
              <w:t>291.8</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38B4490" w14:textId="77777777" w:rsidR="004701F4" w:rsidRPr="00A65462" w:rsidRDefault="004701F4" w:rsidP="005621E7">
            <w:pPr>
              <w:jc w:val="right"/>
              <w:rPr>
                <w:rFonts w:cstheme="minorHAnsi"/>
                <w:color w:val="000000"/>
                <w:sz w:val="16"/>
                <w:szCs w:val="16"/>
              </w:rPr>
            </w:pPr>
            <w:r w:rsidRPr="00A65462">
              <w:rPr>
                <w:color w:val="000000"/>
                <w:sz w:val="16"/>
              </w:rPr>
              <w:t>237.5</w:t>
            </w:r>
          </w:p>
        </w:tc>
        <w:tc>
          <w:tcPr>
            <w:tcW w:w="639" w:type="dxa"/>
            <w:tcBorders>
              <w:top w:val="nil"/>
              <w:left w:val="nil"/>
              <w:bottom w:val="single" w:sz="4" w:space="0" w:color="FFFFFF" w:themeColor="background1"/>
              <w:right w:val="nil"/>
            </w:tcBorders>
            <w:shd w:val="clear" w:color="auto" w:fill="auto"/>
            <w:noWrap/>
            <w:vAlign w:val="bottom"/>
            <w:hideMark/>
          </w:tcPr>
          <w:p w14:paraId="10D1E829" w14:textId="77777777" w:rsidR="004701F4" w:rsidRPr="00A65462" w:rsidRDefault="004701F4" w:rsidP="005621E7">
            <w:pPr>
              <w:jc w:val="right"/>
              <w:rPr>
                <w:rFonts w:cstheme="minorHAnsi"/>
                <w:color w:val="000000"/>
                <w:sz w:val="16"/>
                <w:szCs w:val="16"/>
              </w:rPr>
            </w:pPr>
            <w:r w:rsidRPr="00A65462">
              <w:rPr>
                <w:color w:val="000000"/>
                <w:sz w:val="16"/>
              </w:rPr>
              <w:t>-18.6</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FC427F0" w14:textId="77777777" w:rsidR="004701F4" w:rsidRPr="00A65462" w:rsidRDefault="004701F4" w:rsidP="005621E7">
            <w:pPr>
              <w:jc w:val="right"/>
              <w:rPr>
                <w:rFonts w:cstheme="minorHAnsi"/>
                <w:color w:val="000000"/>
                <w:sz w:val="16"/>
                <w:szCs w:val="16"/>
              </w:rPr>
            </w:pPr>
            <w:r w:rsidRPr="00A65462">
              <w:rPr>
                <w:color w:val="000000"/>
                <w:sz w:val="16"/>
              </w:rPr>
              <w:t>0.7</w:t>
            </w:r>
          </w:p>
        </w:tc>
      </w:tr>
      <w:tr w:rsidR="004701F4" w:rsidRPr="00A65462" w14:paraId="0D89032F"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5660E16B" w14:textId="77777777" w:rsidR="004701F4" w:rsidRPr="00A65462" w:rsidRDefault="004701F4" w:rsidP="005621E7">
            <w:pPr>
              <w:rPr>
                <w:rFonts w:cstheme="minorHAnsi"/>
                <w:color w:val="000000"/>
                <w:sz w:val="16"/>
                <w:szCs w:val="16"/>
              </w:rPr>
            </w:pPr>
            <w:r w:rsidRPr="00A65462">
              <w:rPr>
                <w:color w:val="000000"/>
                <w:sz w:val="16"/>
              </w:rPr>
              <w:t>Thailand</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DB4B9F0" w14:textId="77777777" w:rsidR="004701F4" w:rsidRPr="00A65462" w:rsidRDefault="004701F4" w:rsidP="005621E7">
            <w:pPr>
              <w:jc w:val="right"/>
              <w:rPr>
                <w:rFonts w:cstheme="minorHAnsi"/>
                <w:color w:val="000000"/>
                <w:sz w:val="16"/>
                <w:szCs w:val="16"/>
              </w:rPr>
            </w:pPr>
            <w:r w:rsidRPr="00A65462">
              <w:rPr>
                <w:color w:val="000000"/>
                <w:sz w:val="16"/>
              </w:rPr>
              <w:t>0.2</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794E0486" w14:textId="77777777" w:rsidR="004701F4" w:rsidRPr="00A65462" w:rsidRDefault="004701F4" w:rsidP="005621E7">
            <w:pPr>
              <w:jc w:val="right"/>
              <w:rPr>
                <w:rFonts w:cstheme="minorHAnsi"/>
                <w:color w:val="000000"/>
                <w:sz w:val="16"/>
                <w:szCs w:val="16"/>
              </w:rPr>
            </w:pPr>
            <w:r w:rsidRPr="00A65462">
              <w:rPr>
                <w:color w:val="000000"/>
                <w:sz w:val="16"/>
              </w:rPr>
              <w:t>5,352.1</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41108ECD" w14:textId="77777777" w:rsidR="004701F4" w:rsidRPr="00A65462" w:rsidRDefault="004701F4" w:rsidP="005621E7">
            <w:pPr>
              <w:jc w:val="right"/>
              <w:rPr>
                <w:rFonts w:cstheme="minorHAnsi"/>
                <w:color w:val="000000"/>
                <w:sz w:val="16"/>
                <w:szCs w:val="16"/>
              </w:rPr>
            </w:pPr>
            <w:r w:rsidRPr="00A65462">
              <w:rPr>
                <w:color w:val="000000"/>
                <w:sz w:val="16"/>
              </w:rPr>
              <w:t>2,187.8</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3432DB5" w14:textId="77777777" w:rsidR="004701F4" w:rsidRPr="00A65462" w:rsidRDefault="004701F4" w:rsidP="005621E7">
            <w:pPr>
              <w:jc w:val="right"/>
              <w:rPr>
                <w:rFonts w:cstheme="minorHAnsi"/>
                <w:color w:val="000000"/>
                <w:sz w:val="16"/>
                <w:szCs w:val="16"/>
              </w:rPr>
            </w:pPr>
            <w:r w:rsidRPr="00A65462">
              <w:rPr>
                <w:color w:val="000000"/>
                <w:sz w:val="16"/>
              </w:rPr>
              <w:t>-59.1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3D4D6D"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1D00BD0" w14:textId="77777777" w:rsidR="004701F4" w:rsidRPr="00A65462" w:rsidRDefault="004701F4" w:rsidP="005621E7">
            <w:pPr>
              <w:jc w:val="right"/>
              <w:rPr>
                <w:rFonts w:cstheme="minorHAnsi"/>
                <w:color w:val="000000"/>
                <w:sz w:val="16"/>
                <w:szCs w:val="16"/>
              </w:rPr>
            </w:pPr>
            <w:r w:rsidRPr="00A65462">
              <w:rPr>
                <w:color w:val="000000"/>
                <w:sz w:val="16"/>
              </w:rPr>
              <w:t>542.4</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56213C3" w14:textId="77777777" w:rsidR="004701F4" w:rsidRPr="00A65462" w:rsidRDefault="004701F4" w:rsidP="005621E7">
            <w:pPr>
              <w:jc w:val="right"/>
              <w:rPr>
                <w:rFonts w:cstheme="minorHAnsi"/>
                <w:color w:val="000000"/>
                <w:sz w:val="16"/>
                <w:szCs w:val="16"/>
              </w:rPr>
            </w:pPr>
            <w:r w:rsidRPr="00A65462">
              <w:rPr>
                <w:color w:val="000000"/>
                <w:sz w:val="16"/>
              </w:rPr>
              <w:t>532.5</w:t>
            </w:r>
          </w:p>
        </w:tc>
        <w:tc>
          <w:tcPr>
            <w:tcW w:w="639" w:type="dxa"/>
            <w:tcBorders>
              <w:top w:val="nil"/>
              <w:left w:val="nil"/>
              <w:bottom w:val="single" w:sz="4" w:space="0" w:color="FFFFFF" w:themeColor="background1"/>
              <w:right w:val="nil"/>
            </w:tcBorders>
            <w:shd w:val="clear" w:color="auto" w:fill="auto"/>
            <w:noWrap/>
            <w:vAlign w:val="bottom"/>
            <w:hideMark/>
          </w:tcPr>
          <w:p w14:paraId="0E9CFA95" w14:textId="77777777" w:rsidR="004701F4" w:rsidRPr="00A65462" w:rsidRDefault="004701F4" w:rsidP="005621E7">
            <w:pPr>
              <w:jc w:val="right"/>
              <w:rPr>
                <w:rFonts w:cstheme="minorHAnsi"/>
                <w:color w:val="000000"/>
                <w:sz w:val="16"/>
                <w:szCs w:val="16"/>
              </w:rPr>
            </w:pPr>
            <w:r w:rsidRPr="00A65462">
              <w:rPr>
                <w:color w:val="000000"/>
                <w:sz w:val="16"/>
              </w:rPr>
              <w:t>-1.8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745D855" w14:textId="77777777" w:rsidR="004701F4" w:rsidRPr="00A65462" w:rsidRDefault="004701F4" w:rsidP="005621E7">
            <w:pPr>
              <w:jc w:val="right"/>
              <w:rPr>
                <w:rFonts w:cstheme="minorHAnsi"/>
                <w:color w:val="000000"/>
                <w:sz w:val="16"/>
                <w:szCs w:val="16"/>
              </w:rPr>
            </w:pPr>
            <w:r w:rsidRPr="00A65462">
              <w:rPr>
                <w:color w:val="000000"/>
                <w:sz w:val="16"/>
              </w:rPr>
              <w:t>24.3</w:t>
            </w:r>
          </w:p>
        </w:tc>
      </w:tr>
      <w:tr w:rsidR="004701F4" w:rsidRPr="00A65462" w14:paraId="3931713E"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5C4BCE6E" w14:textId="77777777" w:rsidR="004701F4" w:rsidRPr="00A65462" w:rsidRDefault="004701F4" w:rsidP="005621E7">
            <w:pPr>
              <w:rPr>
                <w:rFonts w:cstheme="minorHAnsi"/>
                <w:color w:val="000000"/>
                <w:sz w:val="16"/>
                <w:szCs w:val="16"/>
              </w:rPr>
            </w:pPr>
            <w:r w:rsidRPr="00A65462">
              <w:rPr>
                <w:color w:val="000000"/>
                <w:sz w:val="16"/>
              </w:rPr>
              <w:t>Taiwan</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33B402E"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731A05F7" w14:textId="77777777" w:rsidR="004701F4" w:rsidRPr="00A65462" w:rsidRDefault="004701F4" w:rsidP="005621E7">
            <w:pPr>
              <w:jc w:val="right"/>
              <w:rPr>
                <w:rFonts w:cstheme="minorHAnsi"/>
                <w:color w:val="000000"/>
                <w:sz w:val="16"/>
                <w:szCs w:val="16"/>
              </w:rPr>
            </w:pPr>
            <w:r w:rsidRPr="00A65462">
              <w:rPr>
                <w:color w:val="000000"/>
                <w:sz w:val="16"/>
              </w:rPr>
              <w:t>1,792.5</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4863CC17" w14:textId="77777777" w:rsidR="004701F4" w:rsidRPr="00A65462" w:rsidRDefault="004701F4" w:rsidP="005621E7">
            <w:pPr>
              <w:jc w:val="right"/>
              <w:rPr>
                <w:rFonts w:cstheme="minorHAnsi"/>
                <w:color w:val="000000"/>
                <w:sz w:val="16"/>
                <w:szCs w:val="16"/>
              </w:rPr>
            </w:pPr>
            <w:r w:rsidRPr="00A65462">
              <w:rPr>
                <w:color w:val="000000"/>
                <w:sz w:val="16"/>
              </w:rPr>
              <w:t>608.4</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79975D5" w14:textId="77777777" w:rsidR="004701F4" w:rsidRPr="00A65462" w:rsidRDefault="004701F4" w:rsidP="005621E7">
            <w:pPr>
              <w:jc w:val="right"/>
              <w:rPr>
                <w:rFonts w:cstheme="minorHAnsi"/>
                <w:color w:val="000000"/>
                <w:sz w:val="16"/>
                <w:szCs w:val="16"/>
              </w:rPr>
            </w:pPr>
            <w:r w:rsidRPr="00A65462">
              <w:rPr>
                <w:color w:val="000000"/>
                <w:sz w:val="16"/>
              </w:rPr>
              <w:t>-66.1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54A404D"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C918E3B" w14:textId="77777777" w:rsidR="004701F4" w:rsidRPr="00A65462" w:rsidRDefault="004701F4" w:rsidP="005621E7">
            <w:pPr>
              <w:jc w:val="right"/>
              <w:rPr>
                <w:rFonts w:cstheme="minorHAnsi"/>
                <w:color w:val="000000"/>
                <w:sz w:val="16"/>
                <w:szCs w:val="16"/>
              </w:rPr>
            </w:pPr>
            <w:r w:rsidRPr="00A65462">
              <w:rPr>
                <w:color w:val="000000"/>
                <w:sz w:val="16"/>
              </w:rPr>
              <w:t>245.2</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70A597B" w14:textId="77777777" w:rsidR="004701F4" w:rsidRPr="00A65462" w:rsidRDefault="004701F4" w:rsidP="005621E7">
            <w:pPr>
              <w:jc w:val="right"/>
              <w:rPr>
                <w:rFonts w:cstheme="minorHAnsi"/>
                <w:color w:val="000000"/>
                <w:sz w:val="16"/>
                <w:szCs w:val="16"/>
              </w:rPr>
            </w:pPr>
            <w:r w:rsidRPr="00A65462">
              <w:rPr>
                <w:color w:val="000000"/>
                <w:sz w:val="16"/>
              </w:rPr>
              <w:t>416.4</w:t>
            </w:r>
          </w:p>
        </w:tc>
        <w:tc>
          <w:tcPr>
            <w:tcW w:w="639" w:type="dxa"/>
            <w:tcBorders>
              <w:top w:val="nil"/>
              <w:left w:val="nil"/>
              <w:bottom w:val="single" w:sz="4" w:space="0" w:color="FFFFFF" w:themeColor="background1"/>
              <w:right w:val="nil"/>
            </w:tcBorders>
            <w:shd w:val="clear" w:color="auto" w:fill="auto"/>
            <w:noWrap/>
            <w:vAlign w:val="bottom"/>
            <w:hideMark/>
          </w:tcPr>
          <w:p w14:paraId="43179AAD" w14:textId="77777777" w:rsidR="004701F4" w:rsidRPr="00A65462" w:rsidRDefault="004701F4" w:rsidP="005621E7">
            <w:pPr>
              <w:jc w:val="right"/>
              <w:rPr>
                <w:rFonts w:cstheme="minorHAnsi"/>
                <w:color w:val="000000"/>
                <w:sz w:val="16"/>
                <w:szCs w:val="16"/>
              </w:rPr>
            </w:pPr>
            <w:r w:rsidRPr="00A65462">
              <w:rPr>
                <w:color w:val="000000"/>
                <w:sz w:val="16"/>
              </w:rPr>
              <w:t>69.8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B95B443" w14:textId="77777777" w:rsidR="004701F4" w:rsidRPr="00A65462" w:rsidRDefault="004701F4" w:rsidP="005621E7">
            <w:pPr>
              <w:jc w:val="right"/>
              <w:rPr>
                <w:rFonts w:cstheme="minorHAnsi"/>
                <w:color w:val="000000"/>
                <w:sz w:val="16"/>
                <w:szCs w:val="16"/>
              </w:rPr>
            </w:pPr>
            <w:r w:rsidRPr="00A65462">
              <w:rPr>
                <w:color w:val="000000"/>
                <w:sz w:val="16"/>
              </w:rPr>
              <w:t>68.5</w:t>
            </w:r>
          </w:p>
        </w:tc>
      </w:tr>
      <w:tr w:rsidR="004701F4" w:rsidRPr="00A65462" w14:paraId="17FCE3DE"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38D21797" w14:textId="77777777" w:rsidR="004701F4" w:rsidRPr="00A65462" w:rsidRDefault="004701F4" w:rsidP="005621E7">
            <w:pPr>
              <w:rPr>
                <w:rFonts w:cstheme="minorHAnsi"/>
                <w:color w:val="000000"/>
                <w:sz w:val="16"/>
                <w:szCs w:val="16"/>
              </w:rPr>
            </w:pPr>
            <w:r w:rsidRPr="00A65462">
              <w:rPr>
                <w:color w:val="000000"/>
                <w:sz w:val="16"/>
              </w:rPr>
              <w:t>India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EDFBAF1" w14:textId="77777777" w:rsidR="004701F4" w:rsidRPr="00A65462" w:rsidRDefault="004701F4" w:rsidP="005621E7">
            <w:pPr>
              <w:jc w:val="right"/>
              <w:rPr>
                <w:rFonts w:cstheme="minorHAnsi"/>
                <w:color w:val="000000"/>
                <w:sz w:val="16"/>
                <w:szCs w:val="16"/>
              </w:rPr>
            </w:pPr>
            <w:r w:rsidRPr="00A65462">
              <w:rPr>
                <w:color w:val="000000"/>
                <w:sz w:val="16"/>
              </w:rPr>
              <w:t>0.7</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1813AD82" w14:textId="77777777" w:rsidR="004701F4" w:rsidRPr="00A65462" w:rsidRDefault="004701F4" w:rsidP="005621E7">
            <w:pPr>
              <w:jc w:val="right"/>
              <w:rPr>
                <w:rFonts w:cstheme="minorHAnsi"/>
                <w:color w:val="000000"/>
                <w:sz w:val="16"/>
                <w:szCs w:val="16"/>
              </w:rPr>
            </w:pPr>
            <w:r w:rsidRPr="00A65462">
              <w:rPr>
                <w:color w:val="000000"/>
                <w:sz w:val="16"/>
              </w:rPr>
              <w:t>22,334.7</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45F414BD" w14:textId="77777777" w:rsidR="004701F4" w:rsidRPr="00A65462" w:rsidRDefault="004701F4" w:rsidP="005621E7">
            <w:pPr>
              <w:jc w:val="right"/>
              <w:rPr>
                <w:rFonts w:cstheme="minorHAnsi"/>
                <w:color w:val="000000"/>
                <w:sz w:val="16"/>
                <w:szCs w:val="16"/>
              </w:rPr>
            </w:pPr>
            <w:r w:rsidRPr="00A65462">
              <w:rPr>
                <w:color w:val="000000"/>
                <w:sz w:val="16"/>
              </w:rPr>
              <w:t>8,907.6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FCC7F8F" w14:textId="77777777" w:rsidR="004701F4" w:rsidRPr="00A65462" w:rsidRDefault="004701F4" w:rsidP="005621E7">
            <w:pPr>
              <w:jc w:val="right"/>
              <w:rPr>
                <w:rFonts w:cstheme="minorHAnsi"/>
                <w:color w:val="000000"/>
                <w:sz w:val="16"/>
                <w:szCs w:val="16"/>
              </w:rPr>
            </w:pPr>
            <w:r w:rsidRPr="00A65462">
              <w:rPr>
                <w:color w:val="000000"/>
                <w:sz w:val="16"/>
              </w:rPr>
              <w:t>-60.1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346762E"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1308565" w14:textId="77777777" w:rsidR="004701F4" w:rsidRPr="00A65462" w:rsidRDefault="004701F4" w:rsidP="005621E7">
            <w:pPr>
              <w:jc w:val="right"/>
              <w:rPr>
                <w:rFonts w:cstheme="minorHAnsi"/>
                <w:color w:val="000000"/>
                <w:sz w:val="16"/>
                <w:szCs w:val="16"/>
              </w:rPr>
            </w:pPr>
            <w:r w:rsidRPr="00A65462">
              <w:rPr>
                <w:color w:val="000000"/>
                <w:sz w:val="16"/>
              </w:rPr>
              <w:t>538.5</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D7A66DC" w14:textId="77777777" w:rsidR="004701F4" w:rsidRPr="00A65462" w:rsidRDefault="004701F4" w:rsidP="005621E7">
            <w:pPr>
              <w:jc w:val="right"/>
              <w:rPr>
                <w:rFonts w:cstheme="minorHAnsi"/>
                <w:color w:val="000000"/>
                <w:sz w:val="16"/>
                <w:szCs w:val="16"/>
              </w:rPr>
            </w:pPr>
            <w:r w:rsidRPr="00A65462">
              <w:rPr>
                <w:color w:val="000000"/>
                <w:sz w:val="16"/>
              </w:rPr>
              <w:t>496.9</w:t>
            </w:r>
          </w:p>
        </w:tc>
        <w:tc>
          <w:tcPr>
            <w:tcW w:w="639" w:type="dxa"/>
            <w:tcBorders>
              <w:top w:val="nil"/>
              <w:left w:val="nil"/>
              <w:bottom w:val="single" w:sz="4" w:space="0" w:color="FFFFFF" w:themeColor="background1"/>
              <w:right w:val="nil"/>
            </w:tcBorders>
            <w:shd w:val="clear" w:color="auto" w:fill="auto"/>
            <w:noWrap/>
            <w:vAlign w:val="bottom"/>
            <w:hideMark/>
          </w:tcPr>
          <w:p w14:paraId="7BC8C05D" w14:textId="77777777" w:rsidR="004701F4" w:rsidRPr="00A65462" w:rsidRDefault="004701F4" w:rsidP="005621E7">
            <w:pPr>
              <w:jc w:val="right"/>
              <w:rPr>
                <w:rFonts w:cstheme="minorHAnsi"/>
                <w:color w:val="000000"/>
                <w:sz w:val="16"/>
                <w:szCs w:val="16"/>
              </w:rPr>
            </w:pPr>
            <w:r w:rsidRPr="00A65462">
              <w:rPr>
                <w:color w:val="000000"/>
                <w:sz w:val="16"/>
              </w:rPr>
              <w:t>-7.7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F88A3B3" w14:textId="77777777" w:rsidR="004701F4" w:rsidRPr="00A65462" w:rsidRDefault="004701F4" w:rsidP="005621E7">
            <w:pPr>
              <w:jc w:val="right"/>
              <w:rPr>
                <w:rFonts w:cstheme="minorHAnsi"/>
                <w:color w:val="000000"/>
                <w:sz w:val="16"/>
                <w:szCs w:val="16"/>
              </w:rPr>
            </w:pPr>
            <w:r w:rsidRPr="00A65462">
              <w:rPr>
                <w:color w:val="000000"/>
                <w:sz w:val="16"/>
              </w:rPr>
              <w:t>5.6</w:t>
            </w:r>
          </w:p>
        </w:tc>
      </w:tr>
      <w:tr w:rsidR="004701F4" w:rsidRPr="00A65462" w14:paraId="52151C2D"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5BBE8D52" w14:textId="77777777" w:rsidR="004701F4" w:rsidRPr="00A65462" w:rsidRDefault="004701F4" w:rsidP="005621E7">
            <w:pPr>
              <w:rPr>
                <w:rFonts w:cstheme="minorHAnsi"/>
                <w:color w:val="000000"/>
                <w:sz w:val="16"/>
                <w:szCs w:val="16"/>
              </w:rPr>
            </w:pPr>
            <w:r w:rsidRPr="00A65462">
              <w:rPr>
                <w:color w:val="000000"/>
                <w:sz w:val="16"/>
              </w:rPr>
              <w:t>Malaysia</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8405C2E" w14:textId="77777777" w:rsidR="004701F4" w:rsidRPr="00A65462" w:rsidRDefault="004701F4" w:rsidP="005621E7">
            <w:pPr>
              <w:jc w:val="right"/>
              <w:rPr>
                <w:rFonts w:cstheme="minorHAnsi"/>
                <w:color w:val="000000"/>
                <w:sz w:val="16"/>
                <w:szCs w:val="16"/>
              </w:rPr>
            </w:pPr>
            <w:r w:rsidRPr="00A65462">
              <w:rPr>
                <w:color w:val="000000"/>
                <w:sz w:val="16"/>
              </w:rPr>
              <w:t>0.3</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181D1EF0" w14:textId="77777777" w:rsidR="004701F4" w:rsidRPr="00A65462" w:rsidRDefault="004701F4" w:rsidP="005621E7">
            <w:pPr>
              <w:jc w:val="right"/>
              <w:rPr>
                <w:rFonts w:cstheme="minorHAnsi"/>
                <w:color w:val="000000"/>
                <w:sz w:val="16"/>
                <w:szCs w:val="16"/>
              </w:rPr>
            </w:pPr>
            <w:r w:rsidRPr="00A65462">
              <w:rPr>
                <w:color w:val="000000"/>
                <w:sz w:val="16"/>
              </w:rPr>
              <w:t>10,094.9</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3038A8F1" w14:textId="77777777" w:rsidR="004701F4" w:rsidRPr="00A65462" w:rsidRDefault="004701F4" w:rsidP="005621E7">
            <w:pPr>
              <w:jc w:val="right"/>
              <w:rPr>
                <w:rFonts w:cstheme="minorHAnsi"/>
                <w:color w:val="000000"/>
                <w:sz w:val="16"/>
                <w:szCs w:val="16"/>
              </w:rPr>
            </w:pPr>
            <w:r w:rsidRPr="00A65462">
              <w:rPr>
                <w:color w:val="000000"/>
                <w:sz w:val="16"/>
              </w:rPr>
              <w:t>3,989.4</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08B5F188" w14:textId="77777777" w:rsidR="004701F4" w:rsidRPr="00A65462" w:rsidRDefault="004701F4" w:rsidP="005621E7">
            <w:pPr>
              <w:jc w:val="right"/>
              <w:rPr>
                <w:rFonts w:cstheme="minorHAnsi"/>
                <w:color w:val="000000"/>
                <w:sz w:val="16"/>
                <w:szCs w:val="16"/>
              </w:rPr>
            </w:pPr>
            <w:r w:rsidRPr="00A65462">
              <w:rPr>
                <w:color w:val="000000"/>
                <w:sz w:val="16"/>
              </w:rPr>
              <w:t>-60.5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6FFA8ED"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900609E" w14:textId="77777777" w:rsidR="004701F4" w:rsidRPr="00A65462" w:rsidRDefault="004701F4" w:rsidP="005621E7">
            <w:pPr>
              <w:jc w:val="right"/>
              <w:rPr>
                <w:rFonts w:cstheme="minorHAnsi"/>
                <w:color w:val="000000"/>
                <w:sz w:val="16"/>
                <w:szCs w:val="16"/>
              </w:rPr>
            </w:pPr>
            <w:r w:rsidRPr="00A65462">
              <w:rPr>
                <w:color w:val="000000"/>
                <w:sz w:val="16"/>
              </w:rPr>
              <w:t>79.9</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E87630A" w14:textId="77777777" w:rsidR="004701F4" w:rsidRPr="00A65462" w:rsidRDefault="004701F4" w:rsidP="005621E7">
            <w:pPr>
              <w:jc w:val="right"/>
              <w:rPr>
                <w:rFonts w:cstheme="minorHAnsi"/>
                <w:color w:val="000000"/>
                <w:sz w:val="16"/>
                <w:szCs w:val="16"/>
              </w:rPr>
            </w:pPr>
            <w:r w:rsidRPr="00A65462">
              <w:rPr>
                <w:color w:val="000000"/>
                <w:sz w:val="16"/>
              </w:rPr>
              <w:t>112.7</w:t>
            </w:r>
          </w:p>
        </w:tc>
        <w:tc>
          <w:tcPr>
            <w:tcW w:w="639" w:type="dxa"/>
            <w:tcBorders>
              <w:top w:val="nil"/>
              <w:left w:val="nil"/>
              <w:bottom w:val="single" w:sz="4" w:space="0" w:color="FFFFFF" w:themeColor="background1"/>
              <w:right w:val="nil"/>
            </w:tcBorders>
            <w:shd w:val="clear" w:color="auto" w:fill="auto"/>
            <w:noWrap/>
            <w:vAlign w:val="bottom"/>
            <w:hideMark/>
          </w:tcPr>
          <w:p w14:paraId="2AEF6813" w14:textId="77777777" w:rsidR="004701F4" w:rsidRPr="00A65462" w:rsidRDefault="004701F4" w:rsidP="005621E7">
            <w:pPr>
              <w:jc w:val="right"/>
              <w:rPr>
                <w:rFonts w:cstheme="minorHAnsi"/>
                <w:color w:val="000000"/>
                <w:sz w:val="16"/>
                <w:szCs w:val="16"/>
              </w:rPr>
            </w:pPr>
            <w:r w:rsidRPr="00A65462">
              <w:rPr>
                <w:color w:val="000000"/>
                <w:sz w:val="16"/>
              </w:rPr>
              <w:t>41.0</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D787B0B" w14:textId="77777777" w:rsidR="004701F4" w:rsidRPr="00A65462" w:rsidRDefault="004701F4" w:rsidP="005621E7">
            <w:pPr>
              <w:jc w:val="right"/>
              <w:rPr>
                <w:rFonts w:cstheme="minorHAnsi"/>
                <w:color w:val="000000"/>
                <w:sz w:val="16"/>
                <w:szCs w:val="16"/>
              </w:rPr>
            </w:pPr>
            <w:r w:rsidRPr="00A65462">
              <w:rPr>
                <w:color w:val="000000"/>
                <w:sz w:val="16"/>
              </w:rPr>
              <w:t>2.8</w:t>
            </w:r>
          </w:p>
        </w:tc>
      </w:tr>
      <w:tr w:rsidR="004701F4" w:rsidRPr="00A65462" w14:paraId="1D63A227" w14:textId="77777777" w:rsidTr="004701F4">
        <w:tc>
          <w:tcPr>
            <w:tcW w:w="1229" w:type="dxa"/>
            <w:tcBorders>
              <w:top w:val="nil"/>
              <w:left w:val="single" w:sz="4" w:space="0" w:color="auto"/>
              <w:bottom w:val="nil"/>
              <w:right w:val="nil"/>
            </w:tcBorders>
            <w:shd w:val="clear" w:color="auto" w:fill="auto"/>
            <w:vAlign w:val="bottom"/>
            <w:hideMark/>
          </w:tcPr>
          <w:p w14:paraId="0EE6D99F" w14:textId="77777777" w:rsidR="004701F4" w:rsidRPr="00A65462" w:rsidRDefault="004701F4" w:rsidP="005621E7">
            <w:pPr>
              <w:rPr>
                <w:rFonts w:cstheme="minorHAnsi"/>
                <w:color w:val="000000"/>
                <w:sz w:val="16"/>
                <w:szCs w:val="16"/>
              </w:rPr>
            </w:pPr>
            <w:r w:rsidRPr="00A65462">
              <w:rPr>
                <w:color w:val="000000"/>
                <w:sz w:val="16"/>
              </w:rPr>
              <w:t>Vietnam</w:t>
            </w:r>
          </w:p>
        </w:tc>
        <w:tc>
          <w:tcPr>
            <w:tcW w:w="674" w:type="dxa"/>
            <w:tcBorders>
              <w:top w:val="nil"/>
              <w:left w:val="single" w:sz="4" w:space="0" w:color="auto"/>
              <w:bottom w:val="nil"/>
              <w:right w:val="single" w:sz="4" w:space="0" w:color="FFFFFF" w:themeColor="background1"/>
            </w:tcBorders>
            <w:shd w:val="clear" w:color="auto" w:fill="auto"/>
            <w:vAlign w:val="bottom"/>
            <w:hideMark/>
          </w:tcPr>
          <w:p w14:paraId="4937521F" w14:textId="77777777" w:rsidR="004701F4" w:rsidRPr="00A65462" w:rsidRDefault="004701F4" w:rsidP="005621E7">
            <w:pPr>
              <w:jc w:val="right"/>
              <w:rPr>
                <w:rFonts w:cstheme="minorHAnsi"/>
                <w:color w:val="000000"/>
                <w:sz w:val="16"/>
                <w:szCs w:val="16"/>
              </w:rPr>
            </w:pPr>
            <w:r w:rsidRPr="00A65462">
              <w:rPr>
                <w:color w:val="000000"/>
                <w:sz w:val="16"/>
              </w:rPr>
              <w:t>1.4</w:t>
            </w:r>
          </w:p>
        </w:tc>
        <w:tc>
          <w:tcPr>
            <w:tcW w:w="996" w:type="dxa"/>
            <w:tcBorders>
              <w:top w:val="nil"/>
              <w:left w:val="nil"/>
              <w:bottom w:val="nil"/>
              <w:right w:val="single" w:sz="4" w:space="0" w:color="FFFFFF" w:themeColor="background1"/>
            </w:tcBorders>
            <w:shd w:val="clear" w:color="auto" w:fill="auto"/>
            <w:vAlign w:val="bottom"/>
            <w:hideMark/>
          </w:tcPr>
          <w:p w14:paraId="6A56534A" w14:textId="77777777" w:rsidR="004701F4" w:rsidRPr="00A65462" w:rsidRDefault="004701F4" w:rsidP="005621E7">
            <w:pPr>
              <w:jc w:val="right"/>
              <w:rPr>
                <w:rFonts w:cstheme="minorHAnsi"/>
                <w:color w:val="000000"/>
                <w:sz w:val="16"/>
                <w:szCs w:val="16"/>
              </w:rPr>
            </w:pPr>
            <w:r w:rsidRPr="00A65462">
              <w:rPr>
                <w:color w:val="000000"/>
                <w:sz w:val="16"/>
              </w:rPr>
              <w:t>38,189.4</w:t>
            </w:r>
          </w:p>
        </w:tc>
        <w:tc>
          <w:tcPr>
            <w:tcW w:w="996" w:type="dxa"/>
            <w:tcBorders>
              <w:top w:val="nil"/>
              <w:left w:val="nil"/>
              <w:bottom w:val="nil"/>
              <w:right w:val="single" w:sz="4" w:space="0" w:color="FFFFFF" w:themeColor="background1"/>
            </w:tcBorders>
            <w:shd w:val="clear" w:color="auto" w:fill="auto"/>
            <w:vAlign w:val="bottom"/>
            <w:hideMark/>
          </w:tcPr>
          <w:p w14:paraId="0CC62A88" w14:textId="77777777" w:rsidR="004701F4" w:rsidRPr="00A65462" w:rsidRDefault="004701F4" w:rsidP="005621E7">
            <w:pPr>
              <w:jc w:val="right"/>
              <w:rPr>
                <w:rFonts w:cstheme="minorHAnsi"/>
                <w:color w:val="000000"/>
                <w:sz w:val="16"/>
                <w:szCs w:val="16"/>
              </w:rPr>
            </w:pPr>
            <w:r w:rsidRPr="00A65462">
              <w:rPr>
                <w:color w:val="000000"/>
                <w:sz w:val="16"/>
              </w:rPr>
              <w:t>17,264.7</w:t>
            </w:r>
          </w:p>
        </w:tc>
        <w:tc>
          <w:tcPr>
            <w:tcW w:w="827" w:type="dxa"/>
            <w:tcBorders>
              <w:top w:val="nil"/>
              <w:left w:val="nil"/>
              <w:bottom w:val="nil"/>
              <w:right w:val="single" w:sz="4" w:space="0" w:color="auto"/>
            </w:tcBorders>
            <w:shd w:val="clear" w:color="auto" w:fill="auto"/>
            <w:noWrap/>
            <w:vAlign w:val="bottom"/>
            <w:hideMark/>
          </w:tcPr>
          <w:p w14:paraId="295A656B" w14:textId="77777777" w:rsidR="004701F4" w:rsidRPr="00A65462" w:rsidRDefault="004701F4" w:rsidP="005621E7">
            <w:pPr>
              <w:jc w:val="right"/>
              <w:rPr>
                <w:rFonts w:cstheme="minorHAnsi"/>
                <w:color w:val="000000"/>
                <w:sz w:val="16"/>
                <w:szCs w:val="16"/>
              </w:rPr>
            </w:pPr>
            <w:r w:rsidRPr="00A65462">
              <w:rPr>
                <w:color w:val="000000"/>
                <w:sz w:val="16"/>
              </w:rPr>
              <w:t>-54.8</w:t>
            </w:r>
          </w:p>
        </w:tc>
        <w:tc>
          <w:tcPr>
            <w:tcW w:w="786" w:type="dxa"/>
            <w:tcBorders>
              <w:top w:val="nil"/>
              <w:left w:val="nil"/>
              <w:bottom w:val="nil"/>
              <w:right w:val="single" w:sz="4" w:space="0" w:color="FFFFFF" w:themeColor="background1"/>
            </w:tcBorders>
            <w:shd w:val="clear" w:color="auto" w:fill="auto"/>
            <w:noWrap/>
            <w:vAlign w:val="bottom"/>
            <w:hideMark/>
          </w:tcPr>
          <w:p w14:paraId="0BF194B0" w14:textId="77777777" w:rsidR="004701F4" w:rsidRPr="00A65462" w:rsidRDefault="004701F4" w:rsidP="005621E7">
            <w:pPr>
              <w:jc w:val="right"/>
              <w:rPr>
                <w:rFonts w:cstheme="minorHAnsi"/>
                <w:color w:val="000000"/>
                <w:sz w:val="16"/>
                <w:szCs w:val="16"/>
              </w:rPr>
            </w:pPr>
            <w:r w:rsidRPr="00A65462">
              <w:rPr>
                <w:color w:val="000000"/>
                <w:sz w:val="16"/>
              </w:rPr>
              <w:t>0.0</w:t>
            </w:r>
          </w:p>
        </w:tc>
        <w:tc>
          <w:tcPr>
            <w:tcW w:w="873" w:type="dxa"/>
            <w:tcBorders>
              <w:top w:val="nil"/>
              <w:left w:val="nil"/>
              <w:bottom w:val="nil"/>
              <w:right w:val="single" w:sz="4" w:space="0" w:color="FFFFFF" w:themeColor="background1"/>
            </w:tcBorders>
            <w:shd w:val="clear" w:color="auto" w:fill="auto"/>
            <w:noWrap/>
            <w:vAlign w:val="bottom"/>
            <w:hideMark/>
          </w:tcPr>
          <w:p w14:paraId="4DE1DD1B" w14:textId="77777777" w:rsidR="004701F4" w:rsidRPr="00A65462" w:rsidRDefault="004701F4" w:rsidP="005621E7">
            <w:pPr>
              <w:jc w:val="right"/>
              <w:rPr>
                <w:rFonts w:cstheme="minorHAnsi"/>
                <w:color w:val="000000"/>
                <w:sz w:val="16"/>
                <w:szCs w:val="16"/>
              </w:rPr>
            </w:pPr>
            <w:r w:rsidRPr="00A65462">
              <w:rPr>
                <w:color w:val="000000"/>
                <w:sz w:val="16"/>
              </w:rPr>
              <w:t>42.4</w:t>
            </w:r>
          </w:p>
        </w:tc>
        <w:tc>
          <w:tcPr>
            <w:tcW w:w="873" w:type="dxa"/>
            <w:tcBorders>
              <w:top w:val="nil"/>
              <w:left w:val="nil"/>
              <w:bottom w:val="nil"/>
              <w:right w:val="single" w:sz="4" w:space="0" w:color="FFFFFF" w:themeColor="background1"/>
            </w:tcBorders>
            <w:shd w:val="clear" w:color="auto" w:fill="auto"/>
            <w:noWrap/>
            <w:vAlign w:val="bottom"/>
            <w:hideMark/>
          </w:tcPr>
          <w:p w14:paraId="6CEC4559" w14:textId="77777777" w:rsidR="004701F4" w:rsidRPr="00A65462" w:rsidRDefault="004701F4" w:rsidP="005621E7">
            <w:pPr>
              <w:jc w:val="right"/>
              <w:rPr>
                <w:rFonts w:cstheme="minorHAnsi"/>
                <w:color w:val="000000"/>
                <w:sz w:val="16"/>
                <w:szCs w:val="16"/>
              </w:rPr>
            </w:pPr>
            <w:r w:rsidRPr="00A65462">
              <w:rPr>
                <w:color w:val="000000"/>
                <w:sz w:val="16"/>
              </w:rPr>
              <w:t>188.4</w:t>
            </w:r>
          </w:p>
        </w:tc>
        <w:tc>
          <w:tcPr>
            <w:tcW w:w="639" w:type="dxa"/>
            <w:tcBorders>
              <w:top w:val="nil"/>
              <w:left w:val="nil"/>
              <w:bottom w:val="nil"/>
              <w:right w:val="single" w:sz="4" w:space="0" w:color="auto"/>
            </w:tcBorders>
            <w:shd w:val="clear" w:color="auto" w:fill="auto"/>
            <w:noWrap/>
            <w:vAlign w:val="bottom"/>
            <w:hideMark/>
          </w:tcPr>
          <w:p w14:paraId="3F2D60CB" w14:textId="77777777" w:rsidR="004701F4" w:rsidRPr="00A65462" w:rsidRDefault="004701F4" w:rsidP="005621E7">
            <w:pPr>
              <w:jc w:val="right"/>
              <w:rPr>
                <w:rFonts w:cstheme="minorHAnsi"/>
                <w:color w:val="000000"/>
                <w:sz w:val="16"/>
                <w:szCs w:val="16"/>
              </w:rPr>
            </w:pPr>
            <w:r w:rsidRPr="00A65462">
              <w:rPr>
                <w:color w:val="000000"/>
                <w:sz w:val="16"/>
              </w:rPr>
              <w:t>344.8</w:t>
            </w:r>
          </w:p>
        </w:tc>
        <w:tc>
          <w:tcPr>
            <w:tcW w:w="1046" w:type="dxa"/>
            <w:tcBorders>
              <w:top w:val="nil"/>
              <w:left w:val="nil"/>
              <w:bottom w:val="nil"/>
              <w:right w:val="single" w:sz="4" w:space="0" w:color="auto"/>
            </w:tcBorders>
            <w:shd w:val="clear" w:color="auto" w:fill="auto"/>
            <w:noWrap/>
            <w:vAlign w:val="bottom"/>
            <w:hideMark/>
          </w:tcPr>
          <w:p w14:paraId="4AE71028" w14:textId="77777777" w:rsidR="004701F4" w:rsidRPr="00A65462" w:rsidRDefault="004701F4" w:rsidP="005621E7">
            <w:pPr>
              <w:jc w:val="right"/>
              <w:rPr>
                <w:rFonts w:cstheme="minorHAnsi"/>
                <w:color w:val="000000"/>
                <w:sz w:val="16"/>
                <w:szCs w:val="16"/>
              </w:rPr>
            </w:pPr>
            <w:r w:rsidRPr="00A65462">
              <w:rPr>
                <w:color w:val="000000"/>
                <w:sz w:val="16"/>
              </w:rPr>
              <w:t>1.1</w:t>
            </w:r>
          </w:p>
        </w:tc>
      </w:tr>
      <w:tr w:rsidR="004701F4" w:rsidRPr="00A65462" w14:paraId="3A1328C0"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hideMark/>
          </w:tcPr>
          <w:p w14:paraId="125080EC" w14:textId="77777777" w:rsidR="004701F4" w:rsidRPr="00A65462" w:rsidRDefault="004701F4" w:rsidP="005621E7">
            <w:pPr>
              <w:rPr>
                <w:rFonts w:cstheme="minorHAnsi"/>
                <w:color w:val="000000"/>
                <w:sz w:val="16"/>
                <w:szCs w:val="16"/>
              </w:rPr>
            </w:pPr>
            <w:r w:rsidRPr="00A65462">
              <w:rPr>
                <w:color w:val="000000"/>
                <w:sz w:val="16"/>
              </w:rPr>
              <w:t>Japan</w:t>
            </w: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56E8D8A"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6D38BCA0" w14:textId="77777777" w:rsidR="004701F4" w:rsidRPr="00A65462" w:rsidRDefault="004701F4" w:rsidP="005621E7">
            <w:pPr>
              <w:jc w:val="right"/>
              <w:rPr>
                <w:rFonts w:cstheme="minorHAnsi"/>
                <w:color w:val="000000"/>
                <w:sz w:val="16"/>
                <w:szCs w:val="16"/>
              </w:rPr>
            </w:pPr>
            <w:r w:rsidRPr="00A65462">
              <w:rPr>
                <w:color w:val="000000"/>
                <w:sz w:val="16"/>
              </w:rPr>
              <w:t>918.7</w:t>
            </w:r>
          </w:p>
        </w:tc>
        <w:tc>
          <w:tcPr>
            <w:tcW w:w="996" w:type="dxa"/>
            <w:tcBorders>
              <w:top w:val="nil"/>
              <w:left w:val="nil"/>
              <w:bottom w:val="single" w:sz="4" w:space="0" w:color="FFFFFF" w:themeColor="background1"/>
              <w:right w:val="single" w:sz="4" w:space="0" w:color="FFFFFF" w:themeColor="background1"/>
            </w:tcBorders>
            <w:shd w:val="clear" w:color="auto" w:fill="auto"/>
            <w:vAlign w:val="bottom"/>
            <w:hideMark/>
          </w:tcPr>
          <w:p w14:paraId="34A929A1" w14:textId="77777777" w:rsidR="004701F4" w:rsidRPr="00A65462" w:rsidRDefault="004701F4" w:rsidP="005621E7">
            <w:pPr>
              <w:jc w:val="right"/>
              <w:rPr>
                <w:rFonts w:cstheme="minorHAnsi"/>
                <w:color w:val="000000"/>
                <w:sz w:val="16"/>
                <w:szCs w:val="16"/>
              </w:rPr>
            </w:pPr>
            <w:r w:rsidRPr="00A65462">
              <w:rPr>
                <w:color w:val="000000"/>
                <w:sz w:val="16"/>
              </w:rPr>
              <w:t>883.8</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58AEE7B8" w14:textId="77777777" w:rsidR="004701F4" w:rsidRPr="00A65462" w:rsidRDefault="004701F4" w:rsidP="005621E7">
            <w:pPr>
              <w:jc w:val="right"/>
              <w:rPr>
                <w:rFonts w:cstheme="minorHAnsi"/>
                <w:color w:val="000000"/>
                <w:sz w:val="16"/>
                <w:szCs w:val="16"/>
              </w:rPr>
            </w:pPr>
            <w:r w:rsidRPr="00A65462">
              <w:rPr>
                <w:color w:val="000000"/>
                <w:sz w:val="16"/>
              </w:rPr>
              <w:t>-3.8</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8FC5CB4" w14:textId="77777777" w:rsidR="004701F4" w:rsidRPr="00A65462" w:rsidRDefault="004701F4" w:rsidP="005621E7">
            <w:pPr>
              <w:jc w:val="right"/>
              <w:rPr>
                <w:rFonts w:cstheme="minorHAnsi"/>
                <w:color w:val="000000"/>
                <w:sz w:val="16"/>
                <w:szCs w:val="16"/>
              </w:rPr>
            </w:pPr>
            <w:r w:rsidRPr="00A65462">
              <w:rPr>
                <w:color w:val="000000"/>
                <w:sz w:val="16"/>
              </w:rPr>
              <w:t>0.1</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47D3D96" w14:textId="77777777" w:rsidR="004701F4" w:rsidRPr="00A65462" w:rsidRDefault="004701F4" w:rsidP="005621E7">
            <w:pPr>
              <w:jc w:val="right"/>
              <w:rPr>
                <w:rFonts w:cstheme="minorHAnsi"/>
                <w:color w:val="000000"/>
                <w:sz w:val="16"/>
                <w:szCs w:val="16"/>
              </w:rPr>
            </w:pPr>
            <w:r w:rsidRPr="00A65462">
              <w:rPr>
                <w:color w:val="000000"/>
                <w:sz w:val="16"/>
              </w:rPr>
              <w:t>1,124.9</w:t>
            </w: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3B04EF4" w14:textId="77777777" w:rsidR="004701F4" w:rsidRPr="00A65462" w:rsidRDefault="004701F4" w:rsidP="005621E7">
            <w:pPr>
              <w:jc w:val="right"/>
              <w:rPr>
                <w:rFonts w:cstheme="minorHAnsi"/>
                <w:color w:val="000000"/>
                <w:sz w:val="16"/>
                <w:szCs w:val="16"/>
              </w:rPr>
            </w:pPr>
            <w:r w:rsidRPr="00A65462">
              <w:rPr>
                <w:color w:val="000000"/>
                <w:sz w:val="16"/>
              </w:rPr>
              <w:t>1,062.1</w:t>
            </w:r>
          </w:p>
        </w:tc>
        <w:tc>
          <w:tcPr>
            <w:tcW w:w="639" w:type="dxa"/>
            <w:tcBorders>
              <w:top w:val="nil"/>
              <w:left w:val="nil"/>
              <w:bottom w:val="single" w:sz="4" w:space="0" w:color="FFFFFF" w:themeColor="background1"/>
              <w:right w:val="nil"/>
            </w:tcBorders>
            <w:shd w:val="clear" w:color="auto" w:fill="auto"/>
            <w:noWrap/>
            <w:vAlign w:val="bottom"/>
            <w:hideMark/>
          </w:tcPr>
          <w:p w14:paraId="3DD1A79B" w14:textId="77777777" w:rsidR="004701F4" w:rsidRPr="00A65462" w:rsidRDefault="004701F4" w:rsidP="005621E7">
            <w:pPr>
              <w:jc w:val="right"/>
              <w:rPr>
                <w:rFonts w:cstheme="minorHAnsi"/>
                <w:color w:val="000000"/>
                <w:sz w:val="16"/>
                <w:szCs w:val="16"/>
              </w:rPr>
            </w:pPr>
            <w:r w:rsidRPr="00A65462">
              <w:rPr>
                <w:color w:val="000000"/>
                <w:sz w:val="16"/>
              </w:rPr>
              <w:t>-5.6</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F17AB4B" w14:textId="77777777" w:rsidR="004701F4" w:rsidRPr="00A65462" w:rsidRDefault="004701F4" w:rsidP="005621E7">
            <w:pPr>
              <w:jc w:val="right"/>
              <w:rPr>
                <w:rFonts w:cstheme="minorHAnsi"/>
                <w:color w:val="000000"/>
                <w:sz w:val="16"/>
                <w:szCs w:val="16"/>
              </w:rPr>
            </w:pPr>
            <w:r w:rsidRPr="00A65462">
              <w:rPr>
                <w:color w:val="000000"/>
                <w:sz w:val="16"/>
              </w:rPr>
              <w:t>120.2</w:t>
            </w:r>
          </w:p>
        </w:tc>
      </w:tr>
      <w:tr w:rsidR="004701F4" w:rsidRPr="00A65462" w14:paraId="2FC2F91C" w14:textId="77777777" w:rsidTr="004701F4">
        <w:tc>
          <w:tcPr>
            <w:tcW w:w="1229" w:type="dxa"/>
            <w:tcBorders>
              <w:top w:val="nil"/>
              <w:left w:val="single" w:sz="4" w:space="0" w:color="auto"/>
              <w:bottom w:val="single" w:sz="4" w:space="0" w:color="FFFFFF" w:themeColor="background1"/>
              <w:right w:val="nil"/>
            </w:tcBorders>
            <w:shd w:val="clear" w:color="auto" w:fill="auto"/>
            <w:vAlign w:val="bottom"/>
          </w:tcPr>
          <w:p w14:paraId="0C0F12B0" w14:textId="77777777" w:rsidR="004701F4" w:rsidRPr="00A65462" w:rsidRDefault="004701F4" w:rsidP="005621E7">
            <w:pPr>
              <w:rPr>
                <w:rFonts w:cstheme="minorHAnsi"/>
                <w:color w:val="000000"/>
                <w:sz w:val="16"/>
                <w:szCs w:val="16"/>
              </w:rPr>
            </w:pPr>
          </w:p>
        </w:tc>
        <w:tc>
          <w:tcPr>
            <w:tcW w:w="674" w:type="dxa"/>
            <w:tcBorders>
              <w:top w:val="nil"/>
              <w:left w:val="single" w:sz="4" w:space="0" w:color="auto"/>
              <w:bottom w:val="single" w:sz="4" w:space="0" w:color="FFFFFF" w:themeColor="background1"/>
              <w:right w:val="single" w:sz="4" w:space="0" w:color="FFFFFF" w:themeColor="background1"/>
            </w:tcBorders>
            <w:shd w:val="clear" w:color="auto" w:fill="auto"/>
            <w:vAlign w:val="bottom"/>
          </w:tcPr>
          <w:p w14:paraId="394CA19C" w14:textId="77777777" w:rsidR="004701F4" w:rsidRPr="00A65462" w:rsidRDefault="004701F4" w:rsidP="005621E7">
            <w:pPr>
              <w:jc w:val="right"/>
              <w:rPr>
                <w:rFonts w:cstheme="minorHAnsi"/>
                <w:color w:val="000000"/>
                <w:sz w:val="16"/>
                <w:szCs w:val="16"/>
              </w:rPr>
            </w:pPr>
          </w:p>
        </w:tc>
        <w:tc>
          <w:tcPr>
            <w:tcW w:w="996" w:type="dxa"/>
            <w:tcBorders>
              <w:top w:val="nil"/>
              <w:left w:val="nil"/>
              <w:bottom w:val="single" w:sz="4" w:space="0" w:color="FFFFFF" w:themeColor="background1"/>
              <w:right w:val="single" w:sz="4" w:space="0" w:color="FFFFFF" w:themeColor="background1"/>
            </w:tcBorders>
            <w:shd w:val="clear" w:color="auto" w:fill="auto"/>
            <w:vAlign w:val="bottom"/>
          </w:tcPr>
          <w:p w14:paraId="4BE0B5F0" w14:textId="77777777" w:rsidR="004701F4" w:rsidRPr="00A65462" w:rsidRDefault="004701F4" w:rsidP="005621E7">
            <w:pPr>
              <w:jc w:val="right"/>
              <w:rPr>
                <w:rFonts w:cstheme="minorHAnsi"/>
                <w:color w:val="000000"/>
                <w:sz w:val="16"/>
                <w:szCs w:val="16"/>
              </w:rPr>
            </w:pPr>
          </w:p>
        </w:tc>
        <w:tc>
          <w:tcPr>
            <w:tcW w:w="996" w:type="dxa"/>
            <w:tcBorders>
              <w:top w:val="nil"/>
              <w:left w:val="nil"/>
              <w:bottom w:val="single" w:sz="4" w:space="0" w:color="FFFFFF" w:themeColor="background1"/>
              <w:right w:val="single" w:sz="4" w:space="0" w:color="FFFFFF" w:themeColor="background1"/>
            </w:tcBorders>
            <w:shd w:val="clear" w:color="auto" w:fill="auto"/>
            <w:vAlign w:val="bottom"/>
          </w:tcPr>
          <w:p w14:paraId="06B090FB" w14:textId="77777777" w:rsidR="004701F4" w:rsidRPr="00A65462" w:rsidRDefault="004701F4" w:rsidP="005621E7">
            <w:pPr>
              <w:jc w:val="right"/>
              <w:rPr>
                <w:rFonts w:cstheme="minorHAnsi"/>
                <w:color w:val="000000"/>
                <w:sz w:val="16"/>
                <w:szCs w:val="16"/>
              </w:rPr>
            </w:pPr>
          </w:p>
        </w:tc>
        <w:tc>
          <w:tcPr>
            <w:tcW w:w="827" w:type="dxa"/>
            <w:tcBorders>
              <w:top w:val="nil"/>
              <w:left w:val="nil"/>
              <w:bottom w:val="single" w:sz="4" w:space="0" w:color="FFFFFF" w:themeColor="background1"/>
              <w:right w:val="single" w:sz="4" w:space="0" w:color="auto"/>
            </w:tcBorders>
            <w:shd w:val="clear" w:color="auto" w:fill="auto"/>
            <w:noWrap/>
            <w:vAlign w:val="bottom"/>
          </w:tcPr>
          <w:p w14:paraId="3EB6AA07" w14:textId="77777777" w:rsidR="004701F4" w:rsidRPr="00A65462" w:rsidRDefault="004701F4" w:rsidP="005621E7">
            <w:pPr>
              <w:jc w:val="right"/>
              <w:rPr>
                <w:rFonts w:cstheme="minorHAnsi"/>
                <w:color w:val="000000"/>
                <w:sz w:val="16"/>
                <w:szCs w:val="16"/>
              </w:rPr>
            </w:pP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tcPr>
          <w:p w14:paraId="00A594E8" w14:textId="77777777" w:rsidR="004701F4" w:rsidRPr="00A65462" w:rsidRDefault="004701F4" w:rsidP="005621E7">
            <w:pPr>
              <w:jc w:val="right"/>
              <w:rPr>
                <w:rFonts w:cstheme="minorHAnsi"/>
                <w:color w:val="000000"/>
                <w:sz w:val="16"/>
                <w:szCs w:val="16"/>
              </w:rPr>
            </w:pP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tcPr>
          <w:p w14:paraId="6B4E2AE5" w14:textId="77777777" w:rsidR="004701F4" w:rsidRPr="00A65462" w:rsidRDefault="004701F4" w:rsidP="005621E7">
            <w:pPr>
              <w:jc w:val="right"/>
              <w:rPr>
                <w:rFonts w:cstheme="minorHAnsi"/>
                <w:color w:val="000000"/>
                <w:sz w:val="16"/>
                <w:szCs w:val="16"/>
              </w:rPr>
            </w:pPr>
          </w:p>
        </w:tc>
        <w:tc>
          <w:tcPr>
            <w:tcW w:w="873" w:type="dxa"/>
            <w:tcBorders>
              <w:top w:val="nil"/>
              <w:left w:val="nil"/>
              <w:bottom w:val="single" w:sz="4" w:space="0" w:color="FFFFFF" w:themeColor="background1"/>
              <w:right w:val="single" w:sz="4" w:space="0" w:color="FFFFFF" w:themeColor="background1"/>
            </w:tcBorders>
            <w:shd w:val="clear" w:color="auto" w:fill="auto"/>
            <w:noWrap/>
            <w:vAlign w:val="bottom"/>
          </w:tcPr>
          <w:p w14:paraId="30D09040" w14:textId="77777777" w:rsidR="004701F4" w:rsidRPr="00A65462" w:rsidRDefault="004701F4" w:rsidP="005621E7">
            <w:pPr>
              <w:jc w:val="right"/>
              <w:rPr>
                <w:rFonts w:cstheme="minorHAnsi"/>
                <w:color w:val="000000"/>
                <w:sz w:val="16"/>
                <w:szCs w:val="16"/>
              </w:rPr>
            </w:pPr>
          </w:p>
        </w:tc>
        <w:tc>
          <w:tcPr>
            <w:tcW w:w="639" w:type="dxa"/>
            <w:tcBorders>
              <w:top w:val="nil"/>
              <w:left w:val="nil"/>
              <w:bottom w:val="single" w:sz="4" w:space="0" w:color="FFFFFF" w:themeColor="background1"/>
              <w:right w:val="nil"/>
            </w:tcBorders>
            <w:shd w:val="clear" w:color="auto" w:fill="auto"/>
            <w:noWrap/>
            <w:vAlign w:val="bottom"/>
          </w:tcPr>
          <w:p w14:paraId="4C3AAC69" w14:textId="77777777" w:rsidR="004701F4" w:rsidRPr="00A65462" w:rsidRDefault="004701F4" w:rsidP="005621E7">
            <w:pPr>
              <w:jc w:val="right"/>
              <w:rPr>
                <w:rFonts w:cstheme="minorHAnsi"/>
                <w:color w:val="000000"/>
                <w:sz w:val="16"/>
                <w:szCs w:val="16"/>
              </w:rPr>
            </w:pP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tcPr>
          <w:p w14:paraId="01F504BA" w14:textId="77777777" w:rsidR="004701F4" w:rsidRPr="00A65462" w:rsidRDefault="004701F4" w:rsidP="005621E7">
            <w:pPr>
              <w:jc w:val="right"/>
              <w:rPr>
                <w:rFonts w:cstheme="minorHAnsi"/>
                <w:color w:val="000000"/>
                <w:sz w:val="16"/>
                <w:szCs w:val="16"/>
              </w:rPr>
            </w:pPr>
          </w:p>
        </w:tc>
      </w:tr>
      <w:tr w:rsidR="004701F4" w:rsidRPr="00A65462" w14:paraId="72F44BC2" w14:textId="77777777" w:rsidTr="004701F4">
        <w:tc>
          <w:tcPr>
            <w:tcW w:w="1229" w:type="dxa"/>
            <w:tcBorders>
              <w:top w:val="nil"/>
              <w:left w:val="single" w:sz="4" w:space="0" w:color="auto"/>
              <w:bottom w:val="single" w:sz="4" w:space="0" w:color="auto"/>
              <w:right w:val="single" w:sz="4" w:space="0" w:color="auto"/>
            </w:tcBorders>
            <w:shd w:val="clear" w:color="auto" w:fill="auto"/>
            <w:vAlign w:val="center"/>
            <w:hideMark/>
          </w:tcPr>
          <w:p w14:paraId="65DB8116" w14:textId="77777777" w:rsidR="004701F4" w:rsidRPr="00A65462" w:rsidRDefault="004701F4" w:rsidP="005621E7">
            <w:pPr>
              <w:rPr>
                <w:rFonts w:cstheme="minorHAnsi"/>
                <w:color w:val="000000"/>
                <w:sz w:val="16"/>
                <w:szCs w:val="16"/>
              </w:rPr>
            </w:pPr>
            <w:r w:rsidRPr="00A65462">
              <w:rPr>
                <w:rFonts w:ascii="Calibri" w:hAnsi="Calibri"/>
                <w:color w:val="000000"/>
                <w:sz w:val="16"/>
              </w:rPr>
              <w:t>Total for other countries</w:t>
            </w:r>
          </w:p>
        </w:tc>
        <w:tc>
          <w:tcPr>
            <w:tcW w:w="674" w:type="dxa"/>
            <w:tcBorders>
              <w:top w:val="nil"/>
              <w:left w:val="nil"/>
              <w:bottom w:val="single" w:sz="4" w:space="0" w:color="auto"/>
              <w:right w:val="single" w:sz="4" w:space="0" w:color="FFFFFF" w:themeColor="background1"/>
            </w:tcBorders>
            <w:shd w:val="clear" w:color="auto" w:fill="auto"/>
            <w:vAlign w:val="center"/>
            <w:hideMark/>
          </w:tcPr>
          <w:p w14:paraId="30F418A3" w14:textId="77777777" w:rsidR="004701F4" w:rsidRPr="00A65462" w:rsidRDefault="004701F4" w:rsidP="005621E7">
            <w:pPr>
              <w:jc w:val="right"/>
              <w:rPr>
                <w:rFonts w:cstheme="minorHAnsi"/>
                <w:color w:val="000000"/>
                <w:sz w:val="16"/>
                <w:szCs w:val="16"/>
              </w:rPr>
            </w:pPr>
            <w:r w:rsidRPr="00A65462">
              <w:rPr>
                <w:rFonts w:ascii="Calibri" w:hAnsi="Calibri"/>
                <w:color w:val="000000"/>
                <w:sz w:val="16"/>
              </w:rPr>
              <w:t>0.6</w:t>
            </w:r>
          </w:p>
        </w:tc>
        <w:tc>
          <w:tcPr>
            <w:tcW w:w="996" w:type="dxa"/>
            <w:tcBorders>
              <w:top w:val="nil"/>
              <w:left w:val="nil"/>
              <w:bottom w:val="single" w:sz="4" w:space="0" w:color="auto"/>
              <w:right w:val="single" w:sz="4" w:space="0" w:color="FFFFFF" w:themeColor="background1"/>
            </w:tcBorders>
            <w:shd w:val="clear" w:color="auto" w:fill="auto"/>
            <w:vAlign w:val="center"/>
            <w:hideMark/>
          </w:tcPr>
          <w:p w14:paraId="1F61F16B" w14:textId="77777777" w:rsidR="004701F4" w:rsidRPr="00A65462" w:rsidRDefault="004701F4" w:rsidP="005621E7">
            <w:pPr>
              <w:jc w:val="right"/>
              <w:rPr>
                <w:rFonts w:cstheme="minorHAnsi"/>
                <w:color w:val="000000"/>
                <w:sz w:val="16"/>
                <w:szCs w:val="16"/>
              </w:rPr>
            </w:pPr>
            <w:r w:rsidRPr="00A65462">
              <w:rPr>
                <w:rFonts w:ascii="Calibri" w:hAnsi="Calibri"/>
                <w:color w:val="000000"/>
                <w:sz w:val="16"/>
              </w:rPr>
              <w:t>17,795.58</w:t>
            </w:r>
          </w:p>
        </w:tc>
        <w:tc>
          <w:tcPr>
            <w:tcW w:w="996" w:type="dxa"/>
            <w:tcBorders>
              <w:top w:val="nil"/>
              <w:left w:val="nil"/>
              <w:bottom w:val="single" w:sz="4" w:space="0" w:color="auto"/>
              <w:right w:val="single" w:sz="4" w:space="0" w:color="FFFFFF" w:themeColor="background1"/>
            </w:tcBorders>
            <w:shd w:val="clear" w:color="auto" w:fill="auto"/>
            <w:vAlign w:val="center"/>
            <w:hideMark/>
          </w:tcPr>
          <w:p w14:paraId="0B77654C" w14:textId="77777777" w:rsidR="004701F4" w:rsidRPr="00A65462" w:rsidRDefault="004701F4" w:rsidP="005621E7">
            <w:pPr>
              <w:jc w:val="right"/>
              <w:rPr>
                <w:rFonts w:cstheme="minorHAnsi"/>
                <w:color w:val="000000"/>
                <w:sz w:val="16"/>
                <w:szCs w:val="16"/>
              </w:rPr>
            </w:pPr>
            <w:r w:rsidRPr="00A65462">
              <w:rPr>
                <w:rFonts w:ascii="Calibri" w:hAnsi="Calibri"/>
                <w:color w:val="000000"/>
                <w:sz w:val="16"/>
              </w:rPr>
              <w:t>11,315.82</w:t>
            </w:r>
          </w:p>
        </w:tc>
        <w:tc>
          <w:tcPr>
            <w:tcW w:w="827" w:type="dxa"/>
            <w:tcBorders>
              <w:top w:val="nil"/>
              <w:left w:val="nil"/>
              <w:bottom w:val="single" w:sz="4" w:space="0" w:color="auto"/>
              <w:right w:val="single" w:sz="4" w:space="0" w:color="auto"/>
            </w:tcBorders>
            <w:shd w:val="clear" w:color="auto" w:fill="auto"/>
            <w:noWrap/>
            <w:vAlign w:val="center"/>
            <w:hideMark/>
          </w:tcPr>
          <w:p w14:paraId="7E75DCC3" w14:textId="77777777" w:rsidR="004701F4" w:rsidRPr="00A65462" w:rsidRDefault="004701F4" w:rsidP="005621E7">
            <w:pPr>
              <w:jc w:val="right"/>
              <w:rPr>
                <w:rFonts w:cstheme="minorHAnsi"/>
                <w:color w:val="000000"/>
                <w:sz w:val="16"/>
                <w:szCs w:val="16"/>
              </w:rPr>
            </w:pPr>
            <w:r w:rsidRPr="00A65462">
              <w:rPr>
                <w:rFonts w:ascii="Calibri" w:hAnsi="Calibri"/>
                <w:color w:val="000000"/>
                <w:sz w:val="16"/>
              </w:rPr>
              <w:t>-36.4</w:t>
            </w:r>
          </w:p>
        </w:tc>
        <w:tc>
          <w:tcPr>
            <w:tcW w:w="786" w:type="dxa"/>
            <w:tcBorders>
              <w:top w:val="nil"/>
              <w:left w:val="single" w:sz="4" w:space="0" w:color="FFFFFF" w:themeColor="background1"/>
              <w:bottom w:val="single" w:sz="4" w:space="0" w:color="auto"/>
              <w:right w:val="single" w:sz="4" w:space="0" w:color="FFFFFF" w:themeColor="background1"/>
            </w:tcBorders>
            <w:shd w:val="clear" w:color="auto" w:fill="auto"/>
            <w:vAlign w:val="center"/>
            <w:hideMark/>
          </w:tcPr>
          <w:p w14:paraId="0AA321F9" w14:textId="77777777" w:rsidR="004701F4" w:rsidRPr="00A65462" w:rsidRDefault="004701F4" w:rsidP="005621E7">
            <w:pPr>
              <w:jc w:val="right"/>
              <w:rPr>
                <w:rFonts w:cstheme="minorHAnsi"/>
                <w:color w:val="000000"/>
                <w:sz w:val="16"/>
                <w:szCs w:val="16"/>
              </w:rPr>
            </w:pPr>
            <w:r w:rsidRPr="00A65462">
              <w:rPr>
                <w:rFonts w:ascii="Calibri" w:hAnsi="Calibri"/>
                <w:color w:val="000000"/>
                <w:sz w:val="16"/>
              </w:rPr>
              <w:t>0.1</w:t>
            </w:r>
          </w:p>
        </w:tc>
        <w:tc>
          <w:tcPr>
            <w:tcW w:w="873" w:type="dxa"/>
            <w:tcBorders>
              <w:top w:val="nil"/>
              <w:left w:val="nil"/>
              <w:bottom w:val="single" w:sz="4" w:space="0" w:color="auto"/>
              <w:right w:val="single" w:sz="4" w:space="0" w:color="FFFFFF" w:themeColor="background1"/>
            </w:tcBorders>
            <w:shd w:val="clear" w:color="auto" w:fill="auto"/>
            <w:vAlign w:val="center"/>
            <w:hideMark/>
          </w:tcPr>
          <w:p w14:paraId="2F5B0E1F" w14:textId="77777777" w:rsidR="004701F4" w:rsidRPr="00A65462" w:rsidRDefault="004701F4" w:rsidP="005621E7">
            <w:pPr>
              <w:jc w:val="right"/>
              <w:rPr>
                <w:rFonts w:cstheme="minorHAnsi"/>
                <w:color w:val="000000"/>
                <w:sz w:val="16"/>
                <w:szCs w:val="16"/>
              </w:rPr>
            </w:pPr>
            <w:r w:rsidRPr="00A65462">
              <w:rPr>
                <w:rFonts w:ascii="Calibri" w:hAnsi="Calibri"/>
                <w:color w:val="000000"/>
                <w:sz w:val="16"/>
              </w:rPr>
              <w:t>23,062.53</w:t>
            </w:r>
          </w:p>
        </w:tc>
        <w:tc>
          <w:tcPr>
            <w:tcW w:w="873" w:type="dxa"/>
            <w:tcBorders>
              <w:top w:val="nil"/>
              <w:left w:val="nil"/>
              <w:bottom w:val="single" w:sz="4" w:space="0" w:color="auto"/>
              <w:right w:val="single" w:sz="4" w:space="0" w:color="FFFFFF" w:themeColor="background1"/>
            </w:tcBorders>
            <w:shd w:val="clear" w:color="auto" w:fill="auto"/>
            <w:vAlign w:val="center"/>
            <w:hideMark/>
          </w:tcPr>
          <w:p w14:paraId="53398BBC" w14:textId="77777777" w:rsidR="004701F4" w:rsidRPr="00A65462" w:rsidRDefault="004701F4" w:rsidP="005621E7">
            <w:pPr>
              <w:jc w:val="right"/>
              <w:rPr>
                <w:rFonts w:cstheme="minorHAnsi"/>
                <w:color w:val="000000"/>
                <w:sz w:val="16"/>
                <w:szCs w:val="16"/>
              </w:rPr>
            </w:pPr>
            <w:r w:rsidRPr="00A65462">
              <w:rPr>
                <w:rFonts w:ascii="Calibri" w:hAnsi="Calibri"/>
                <w:color w:val="000000"/>
                <w:sz w:val="16"/>
              </w:rPr>
              <w:t>17,751.53</w:t>
            </w:r>
          </w:p>
        </w:tc>
        <w:tc>
          <w:tcPr>
            <w:tcW w:w="639" w:type="dxa"/>
            <w:tcBorders>
              <w:top w:val="nil"/>
              <w:left w:val="nil"/>
              <w:bottom w:val="single" w:sz="4" w:space="0" w:color="auto"/>
              <w:right w:val="nil"/>
            </w:tcBorders>
            <w:shd w:val="clear" w:color="auto" w:fill="auto"/>
            <w:noWrap/>
            <w:vAlign w:val="center"/>
            <w:hideMark/>
          </w:tcPr>
          <w:p w14:paraId="61B28848" w14:textId="77777777" w:rsidR="004701F4" w:rsidRPr="00A65462" w:rsidRDefault="004701F4" w:rsidP="005621E7">
            <w:pPr>
              <w:jc w:val="right"/>
              <w:rPr>
                <w:rFonts w:cstheme="minorHAnsi"/>
                <w:color w:val="000000"/>
                <w:sz w:val="16"/>
                <w:szCs w:val="16"/>
              </w:rPr>
            </w:pPr>
            <w:r w:rsidRPr="00A65462">
              <w:rPr>
                <w:rFonts w:ascii="Calibri" w:hAnsi="Calibri"/>
                <w:color w:val="000000"/>
                <w:sz w:val="16"/>
              </w:rPr>
              <w:t>-23.0%</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19231BF5" w14:textId="77777777" w:rsidR="004701F4" w:rsidRPr="00A65462" w:rsidRDefault="004701F4" w:rsidP="005621E7">
            <w:pPr>
              <w:jc w:val="right"/>
              <w:rPr>
                <w:color w:val="000000"/>
                <w:sz w:val="16"/>
                <w:szCs w:val="16"/>
              </w:rPr>
            </w:pPr>
            <w:r w:rsidRPr="00A65462">
              <w:rPr>
                <w:rFonts w:ascii="Calibri" w:hAnsi="Calibri"/>
                <w:color w:val="000000" w:themeColor="text1"/>
                <w:sz w:val="16"/>
              </w:rPr>
              <w:t>156.9</w:t>
            </w:r>
          </w:p>
        </w:tc>
      </w:tr>
      <w:tr w:rsidR="004701F4" w:rsidRPr="00A65462" w14:paraId="448084DD" w14:textId="77777777" w:rsidTr="004701F4">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10B55CD" w14:textId="77777777" w:rsidR="004701F4" w:rsidRPr="00A65462" w:rsidRDefault="004701F4" w:rsidP="005621E7">
            <w:pPr>
              <w:rPr>
                <w:rFonts w:cstheme="minorHAnsi"/>
                <w:b/>
                <w:bCs/>
                <w:color w:val="000000"/>
                <w:sz w:val="16"/>
                <w:szCs w:val="16"/>
              </w:rPr>
            </w:pPr>
            <w:r w:rsidRPr="00A65462">
              <w:rPr>
                <w:rFonts w:ascii="Calibri" w:hAnsi="Calibri"/>
                <w:b/>
                <w:color w:val="000000"/>
                <w:sz w:val="16"/>
              </w:rPr>
              <w:t>Total</w:t>
            </w:r>
          </w:p>
        </w:tc>
        <w:tc>
          <w:tcPr>
            <w:tcW w:w="674" w:type="dxa"/>
            <w:tcBorders>
              <w:top w:val="nil"/>
              <w:left w:val="nil"/>
              <w:bottom w:val="single" w:sz="4" w:space="0" w:color="auto"/>
              <w:right w:val="nil"/>
            </w:tcBorders>
            <w:shd w:val="clear" w:color="auto" w:fill="auto"/>
            <w:noWrap/>
            <w:vAlign w:val="center"/>
            <w:hideMark/>
          </w:tcPr>
          <w:p w14:paraId="4AE76AEB" w14:textId="77777777" w:rsidR="004701F4" w:rsidRPr="00A65462" w:rsidRDefault="004701F4" w:rsidP="005621E7">
            <w:pPr>
              <w:jc w:val="right"/>
              <w:rPr>
                <w:rFonts w:cstheme="minorHAnsi"/>
                <w:b/>
                <w:bCs/>
                <w:color w:val="000000"/>
                <w:sz w:val="16"/>
                <w:szCs w:val="16"/>
              </w:rPr>
            </w:pPr>
            <w:r w:rsidRPr="00A65462">
              <w:rPr>
                <w:rFonts w:ascii="Calibri" w:hAnsi="Calibri"/>
                <w:b/>
                <w:color w:val="000000"/>
                <w:sz w:val="16"/>
              </w:rPr>
              <w:t>100</w:t>
            </w:r>
          </w:p>
        </w:tc>
        <w:tc>
          <w:tcPr>
            <w:tcW w:w="996" w:type="dxa"/>
            <w:tcBorders>
              <w:top w:val="nil"/>
              <w:left w:val="nil"/>
              <w:bottom w:val="single" w:sz="4" w:space="0" w:color="auto"/>
              <w:right w:val="nil"/>
            </w:tcBorders>
            <w:shd w:val="clear" w:color="auto" w:fill="auto"/>
            <w:noWrap/>
            <w:vAlign w:val="center"/>
            <w:hideMark/>
          </w:tcPr>
          <w:p w14:paraId="2AFDA438" w14:textId="77777777" w:rsidR="004701F4" w:rsidRPr="00A65462" w:rsidRDefault="004701F4" w:rsidP="005621E7">
            <w:pPr>
              <w:jc w:val="right"/>
              <w:rPr>
                <w:rFonts w:cstheme="minorHAnsi"/>
                <w:b/>
                <w:bCs/>
                <w:color w:val="000000"/>
                <w:sz w:val="16"/>
                <w:szCs w:val="16"/>
              </w:rPr>
            </w:pPr>
            <w:r w:rsidRPr="00A65462">
              <w:rPr>
                <w:rFonts w:ascii="Calibri" w:hAnsi="Calibri"/>
                <w:b/>
                <w:color w:val="000000"/>
                <w:sz w:val="16"/>
              </w:rPr>
              <w:t>1,475,159.18</w:t>
            </w:r>
          </w:p>
        </w:tc>
        <w:tc>
          <w:tcPr>
            <w:tcW w:w="996" w:type="dxa"/>
            <w:tcBorders>
              <w:top w:val="nil"/>
              <w:left w:val="nil"/>
              <w:bottom w:val="single" w:sz="4" w:space="0" w:color="auto"/>
              <w:right w:val="nil"/>
            </w:tcBorders>
            <w:shd w:val="clear" w:color="auto" w:fill="auto"/>
            <w:noWrap/>
            <w:vAlign w:val="center"/>
            <w:hideMark/>
          </w:tcPr>
          <w:p w14:paraId="5F91D2EE" w14:textId="77777777" w:rsidR="004701F4" w:rsidRPr="00A65462" w:rsidRDefault="004701F4" w:rsidP="005621E7">
            <w:pPr>
              <w:jc w:val="right"/>
              <w:rPr>
                <w:rFonts w:cstheme="minorHAnsi"/>
                <w:b/>
                <w:bCs/>
                <w:color w:val="000000"/>
                <w:sz w:val="16"/>
                <w:szCs w:val="16"/>
              </w:rPr>
            </w:pPr>
            <w:r w:rsidRPr="00A65462">
              <w:rPr>
                <w:rFonts w:ascii="Calibri" w:hAnsi="Calibri"/>
                <w:b/>
                <w:color w:val="000000"/>
                <w:sz w:val="16"/>
              </w:rPr>
              <w:t>1,218,932.42</w:t>
            </w:r>
          </w:p>
        </w:tc>
        <w:tc>
          <w:tcPr>
            <w:tcW w:w="827" w:type="dxa"/>
            <w:tcBorders>
              <w:top w:val="nil"/>
              <w:left w:val="nil"/>
              <w:bottom w:val="single" w:sz="4" w:space="0" w:color="auto"/>
              <w:right w:val="single" w:sz="4" w:space="0" w:color="auto"/>
            </w:tcBorders>
            <w:shd w:val="clear" w:color="auto" w:fill="auto"/>
            <w:noWrap/>
            <w:vAlign w:val="center"/>
            <w:hideMark/>
          </w:tcPr>
          <w:p w14:paraId="7855E573" w14:textId="77777777" w:rsidR="004701F4" w:rsidRPr="00A65462" w:rsidRDefault="004701F4" w:rsidP="005621E7">
            <w:pPr>
              <w:jc w:val="right"/>
              <w:rPr>
                <w:rFonts w:ascii="Calibri" w:eastAsia="Calibri" w:hAnsi="Calibri" w:cs="Calibri"/>
                <w:sz w:val="16"/>
                <w:szCs w:val="16"/>
              </w:rPr>
            </w:pPr>
            <w:r w:rsidRPr="00A65462">
              <w:rPr>
                <w:rFonts w:ascii="Calibri" w:hAnsi="Calibri"/>
                <w:b/>
                <w:color w:val="000000" w:themeColor="text1"/>
                <w:sz w:val="16"/>
              </w:rPr>
              <w:t>-17.4</w:t>
            </w:r>
          </w:p>
        </w:tc>
        <w:tc>
          <w:tcPr>
            <w:tcW w:w="786" w:type="dxa"/>
            <w:tcBorders>
              <w:top w:val="nil"/>
              <w:left w:val="nil"/>
              <w:bottom w:val="single" w:sz="4" w:space="0" w:color="auto"/>
              <w:right w:val="nil"/>
            </w:tcBorders>
            <w:shd w:val="clear" w:color="auto" w:fill="auto"/>
            <w:noWrap/>
            <w:vAlign w:val="center"/>
            <w:hideMark/>
          </w:tcPr>
          <w:p w14:paraId="125069B0" w14:textId="77777777" w:rsidR="004701F4" w:rsidRPr="00A65462" w:rsidRDefault="004701F4" w:rsidP="005621E7">
            <w:pPr>
              <w:jc w:val="right"/>
              <w:rPr>
                <w:rFonts w:cstheme="minorHAnsi"/>
                <w:b/>
                <w:bCs/>
                <w:color w:val="000000"/>
                <w:sz w:val="16"/>
                <w:szCs w:val="16"/>
              </w:rPr>
            </w:pPr>
            <w:r w:rsidRPr="00A65462">
              <w:rPr>
                <w:rFonts w:ascii="Calibri" w:hAnsi="Calibri"/>
                <w:b/>
                <w:color w:val="000000"/>
                <w:sz w:val="16"/>
              </w:rPr>
              <w:t>100</w:t>
            </w:r>
          </w:p>
        </w:tc>
        <w:tc>
          <w:tcPr>
            <w:tcW w:w="873" w:type="dxa"/>
            <w:tcBorders>
              <w:top w:val="nil"/>
              <w:left w:val="nil"/>
              <w:bottom w:val="single" w:sz="4" w:space="0" w:color="auto"/>
              <w:right w:val="nil"/>
            </w:tcBorders>
            <w:shd w:val="clear" w:color="auto" w:fill="auto"/>
            <w:noWrap/>
            <w:vAlign w:val="center"/>
            <w:hideMark/>
          </w:tcPr>
          <w:p w14:paraId="31F3309F" w14:textId="77777777" w:rsidR="004701F4" w:rsidRPr="00A65462" w:rsidRDefault="004701F4" w:rsidP="005621E7">
            <w:pPr>
              <w:jc w:val="right"/>
              <w:rPr>
                <w:rFonts w:cstheme="minorHAnsi"/>
                <w:b/>
                <w:bCs/>
                <w:color w:val="000000"/>
                <w:sz w:val="16"/>
                <w:szCs w:val="16"/>
              </w:rPr>
            </w:pPr>
            <w:r w:rsidRPr="00A65462">
              <w:rPr>
                <w:rFonts w:ascii="Calibri" w:hAnsi="Calibri"/>
                <w:b/>
                <w:color w:val="000000"/>
                <w:sz w:val="16"/>
              </w:rPr>
              <w:t>913,205.53</w:t>
            </w:r>
          </w:p>
        </w:tc>
        <w:tc>
          <w:tcPr>
            <w:tcW w:w="873" w:type="dxa"/>
            <w:tcBorders>
              <w:top w:val="nil"/>
              <w:left w:val="nil"/>
              <w:bottom w:val="single" w:sz="4" w:space="0" w:color="auto"/>
              <w:right w:val="nil"/>
            </w:tcBorders>
            <w:shd w:val="clear" w:color="auto" w:fill="auto"/>
            <w:noWrap/>
            <w:vAlign w:val="center"/>
            <w:hideMark/>
          </w:tcPr>
          <w:p w14:paraId="599D19A1" w14:textId="77777777" w:rsidR="004701F4" w:rsidRPr="00A65462" w:rsidRDefault="004701F4" w:rsidP="005621E7">
            <w:pPr>
              <w:jc w:val="right"/>
              <w:rPr>
                <w:rFonts w:cstheme="minorHAnsi"/>
                <w:b/>
                <w:bCs/>
                <w:color w:val="000000"/>
                <w:sz w:val="16"/>
                <w:szCs w:val="16"/>
              </w:rPr>
            </w:pPr>
            <w:r w:rsidRPr="00A65462">
              <w:rPr>
                <w:rFonts w:ascii="Calibri" w:hAnsi="Calibri"/>
                <w:b/>
                <w:color w:val="000000"/>
                <w:sz w:val="16"/>
              </w:rPr>
              <w:t>801,878.33</w:t>
            </w:r>
          </w:p>
        </w:tc>
        <w:tc>
          <w:tcPr>
            <w:tcW w:w="639" w:type="dxa"/>
            <w:tcBorders>
              <w:top w:val="nil"/>
              <w:left w:val="nil"/>
              <w:bottom w:val="single" w:sz="4" w:space="0" w:color="auto"/>
              <w:right w:val="single" w:sz="4" w:space="0" w:color="auto"/>
            </w:tcBorders>
            <w:shd w:val="clear" w:color="auto" w:fill="auto"/>
            <w:noWrap/>
            <w:vAlign w:val="center"/>
            <w:hideMark/>
          </w:tcPr>
          <w:p w14:paraId="7AED1578" w14:textId="77777777" w:rsidR="004701F4" w:rsidRPr="00A65462" w:rsidRDefault="004701F4" w:rsidP="005621E7">
            <w:pPr>
              <w:jc w:val="right"/>
              <w:rPr>
                <w:rFonts w:cstheme="minorHAnsi"/>
                <w:b/>
                <w:bCs/>
                <w:color w:val="000000"/>
                <w:sz w:val="16"/>
                <w:szCs w:val="16"/>
              </w:rPr>
            </w:pPr>
            <w:r w:rsidRPr="00A65462">
              <w:rPr>
                <w:rFonts w:ascii="Calibri" w:hAnsi="Calibri"/>
                <w:b/>
                <w:color w:val="000000"/>
                <w:sz w:val="16"/>
              </w:rPr>
              <w:t>-12.2</w:t>
            </w:r>
          </w:p>
        </w:tc>
        <w:tc>
          <w:tcPr>
            <w:tcW w:w="1046" w:type="dxa"/>
            <w:tcBorders>
              <w:top w:val="nil"/>
              <w:left w:val="nil"/>
              <w:bottom w:val="single" w:sz="4" w:space="0" w:color="auto"/>
              <w:right w:val="single" w:sz="4" w:space="0" w:color="auto"/>
            </w:tcBorders>
            <w:shd w:val="clear" w:color="auto" w:fill="auto"/>
            <w:noWrap/>
            <w:vAlign w:val="center"/>
            <w:hideMark/>
          </w:tcPr>
          <w:p w14:paraId="745D9094" w14:textId="77777777" w:rsidR="004701F4" w:rsidRPr="00A65462" w:rsidRDefault="004701F4" w:rsidP="005621E7">
            <w:pPr>
              <w:jc w:val="right"/>
              <w:rPr>
                <w:rFonts w:cstheme="minorHAnsi"/>
                <w:b/>
                <w:bCs/>
                <w:color w:val="000000"/>
                <w:sz w:val="16"/>
                <w:szCs w:val="16"/>
              </w:rPr>
            </w:pPr>
            <w:r w:rsidRPr="00A65462">
              <w:rPr>
                <w:rFonts w:ascii="Calibri" w:hAnsi="Calibri"/>
                <w:b/>
                <w:color w:val="000000"/>
                <w:sz w:val="16"/>
              </w:rPr>
              <w:t>65.8</w:t>
            </w:r>
          </w:p>
        </w:tc>
      </w:tr>
      <w:tr w:rsidR="004701F4" w:rsidRPr="00A65462" w14:paraId="1FDA2F51" w14:textId="77777777" w:rsidTr="004701F4">
        <w:tc>
          <w:tcPr>
            <w:tcW w:w="1229" w:type="dxa"/>
            <w:tcBorders>
              <w:top w:val="nil"/>
              <w:left w:val="nil"/>
              <w:bottom w:val="nil"/>
              <w:right w:val="nil"/>
            </w:tcBorders>
            <w:shd w:val="clear" w:color="auto" w:fill="auto"/>
            <w:noWrap/>
            <w:vAlign w:val="bottom"/>
            <w:hideMark/>
          </w:tcPr>
          <w:p w14:paraId="1175D8F2" w14:textId="77777777" w:rsidR="004701F4" w:rsidRPr="00A65462" w:rsidRDefault="004701F4" w:rsidP="005621E7">
            <w:pPr>
              <w:rPr>
                <w:rFonts w:cstheme="minorHAnsi"/>
                <w:color w:val="000000"/>
                <w:sz w:val="16"/>
                <w:szCs w:val="16"/>
              </w:rPr>
            </w:pPr>
            <w:r w:rsidRPr="00A65462">
              <w:rPr>
                <w:color w:val="000000"/>
                <w:sz w:val="16"/>
              </w:rPr>
              <w:t>Source: INR</w:t>
            </w:r>
          </w:p>
        </w:tc>
        <w:tc>
          <w:tcPr>
            <w:tcW w:w="674" w:type="dxa"/>
            <w:tcBorders>
              <w:top w:val="nil"/>
              <w:left w:val="nil"/>
              <w:bottom w:val="nil"/>
              <w:right w:val="nil"/>
            </w:tcBorders>
            <w:shd w:val="clear" w:color="auto" w:fill="auto"/>
            <w:noWrap/>
            <w:vAlign w:val="bottom"/>
            <w:hideMark/>
          </w:tcPr>
          <w:p w14:paraId="71107A67" w14:textId="77777777" w:rsidR="004701F4" w:rsidRPr="00A65462" w:rsidRDefault="004701F4" w:rsidP="005621E7">
            <w:pPr>
              <w:rPr>
                <w:rFonts w:cstheme="minorHAnsi"/>
                <w:color w:val="000000"/>
                <w:sz w:val="16"/>
                <w:szCs w:val="16"/>
              </w:rPr>
            </w:pPr>
          </w:p>
        </w:tc>
        <w:tc>
          <w:tcPr>
            <w:tcW w:w="996" w:type="dxa"/>
            <w:tcBorders>
              <w:top w:val="nil"/>
              <w:left w:val="nil"/>
              <w:bottom w:val="nil"/>
              <w:right w:val="nil"/>
            </w:tcBorders>
            <w:shd w:val="clear" w:color="auto" w:fill="auto"/>
            <w:noWrap/>
            <w:vAlign w:val="bottom"/>
            <w:hideMark/>
          </w:tcPr>
          <w:p w14:paraId="2034ADFE" w14:textId="77777777" w:rsidR="004701F4" w:rsidRPr="00A65462" w:rsidRDefault="004701F4" w:rsidP="005621E7">
            <w:pPr>
              <w:rPr>
                <w:rFonts w:cstheme="minorHAnsi"/>
                <w:sz w:val="16"/>
                <w:szCs w:val="16"/>
              </w:rPr>
            </w:pPr>
          </w:p>
        </w:tc>
        <w:tc>
          <w:tcPr>
            <w:tcW w:w="996" w:type="dxa"/>
            <w:tcBorders>
              <w:top w:val="nil"/>
              <w:left w:val="nil"/>
              <w:bottom w:val="nil"/>
              <w:right w:val="nil"/>
            </w:tcBorders>
            <w:shd w:val="clear" w:color="auto" w:fill="auto"/>
            <w:noWrap/>
            <w:vAlign w:val="bottom"/>
            <w:hideMark/>
          </w:tcPr>
          <w:p w14:paraId="2003A465" w14:textId="77777777" w:rsidR="004701F4" w:rsidRPr="00A65462" w:rsidRDefault="004701F4" w:rsidP="005621E7">
            <w:pPr>
              <w:rPr>
                <w:rFonts w:cstheme="minorHAnsi"/>
                <w:sz w:val="16"/>
                <w:szCs w:val="16"/>
              </w:rPr>
            </w:pPr>
          </w:p>
        </w:tc>
        <w:tc>
          <w:tcPr>
            <w:tcW w:w="827" w:type="dxa"/>
            <w:tcBorders>
              <w:top w:val="nil"/>
              <w:left w:val="nil"/>
              <w:bottom w:val="nil"/>
              <w:right w:val="nil"/>
            </w:tcBorders>
            <w:shd w:val="clear" w:color="auto" w:fill="auto"/>
            <w:noWrap/>
            <w:vAlign w:val="bottom"/>
            <w:hideMark/>
          </w:tcPr>
          <w:p w14:paraId="46C6763B" w14:textId="77777777" w:rsidR="004701F4" w:rsidRPr="00A65462" w:rsidRDefault="004701F4" w:rsidP="005621E7">
            <w:pPr>
              <w:rPr>
                <w:rFonts w:cstheme="minorHAnsi"/>
                <w:sz w:val="16"/>
                <w:szCs w:val="16"/>
              </w:rPr>
            </w:pPr>
          </w:p>
        </w:tc>
        <w:tc>
          <w:tcPr>
            <w:tcW w:w="786" w:type="dxa"/>
            <w:tcBorders>
              <w:top w:val="nil"/>
              <w:left w:val="nil"/>
              <w:bottom w:val="nil"/>
              <w:right w:val="nil"/>
            </w:tcBorders>
            <w:shd w:val="clear" w:color="auto" w:fill="auto"/>
            <w:noWrap/>
            <w:vAlign w:val="bottom"/>
            <w:hideMark/>
          </w:tcPr>
          <w:p w14:paraId="46B29079" w14:textId="77777777" w:rsidR="004701F4" w:rsidRPr="00A65462" w:rsidRDefault="004701F4" w:rsidP="005621E7">
            <w:pPr>
              <w:rPr>
                <w:rFonts w:cstheme="minorHAnsi"/>
                <w:sz w:val="16"/>
                <w:szCs w:val="16"/>
              </w:rPr>
            </w:pPr>
          </w:p>
        </w:tc>
        <w:tc>
          <w:tcPr>
            <w:tcW w:w="873" w:type="dxa"/>
            <w:tcBorders>
              <w:top w:val="nil"/>
              <w:left w:val="nil"/>
              <w:bottom w:val="nil"/>
              <w:right w:val="nil"/>
            </w:tcBorders>
            <w:shd w:val="clear" w:color="auto" w:fill="auto"/>
            <w:noWrap/>
            <w:vAlign w:val="bottom"/>
            <w:hideMark/>
          </w:tcPr>
          <w:p w14:paraId="4B5D4008" w14:textId="77777777" w:rsidR="004701F4" w:rsidRPr="00A65462" w:rsidRDefault="004701F4" w:rsidP="005621E7">
            <w:pPr>
              <w:rPr>
                <w:rFonts w:cstheme="minorHAnsi"/>
                <w:sz w:val="16"/>
                <w:szCs w:val="16"/>
              </w:rPr>
            </w:pPr>
          </w:p>
        </w:tc>
        <w:tc>
          <w:tcPr>
            <w:tcW w:w="873" w:type="dxa"/>
            <w:tcBorders>
              <w:top w:val="nil"/>
              <w:left w:val="nil"/>
              <w:bottom w:val="nil"/>
              <w:right w:val="nil"/>
            </w:tcBorders>
            <w:shd w:val="clear" w:color="auto" w:fill="auto"/>
            <w:noWrap/>
            <w:vAlign w:val="bottom"/>
            <w:hideMark/>
          </w:tcPr>
          <w:p w14:paraId="536E5716" w14:textId="77777777" w:rsidR="004701F4" w:rsidRPr="00A65462" w:rsidRDefault="004701F4" w:rsidP="005621E7">
            <w:pPr>
              <w:rPr>
                <w:rFonts w:cstheme="minorHAnsi"/>
                <w:sz w:val="16"/>
                <w:szCs w:val="16"/>
              </w:rPr>
            </w:pPr>
          </w:p>
        </w:tc>
        <w:tc>
          <w:tcPr>
            <w:tcW w:w="639" w:type="dxa"/>
            <w:tcBorders>
              <w:top w:val="nil"/>
              <w:left w:val="nil"/>
              <w:bottom w:val="nil"/>
              <w:right w:val="nil"/>
            </w:tcBorders>
            <w:shd w:val="clear" w:color="auto" w:fill="auto"/>
            <w:noWrap/>
            <w:vAlign w:val="bottom"/>
            <w:hideMark/>
          </w:tcPr>
          <w:p w14:paraId="4B0FBB36" w14:textId="77777777" w:rsidR="004701F4" w:rsidRPr="00A65462" w:rsidRDefault="004701F4" w:rsidP="005621E7">
            <w:pPr>
              <w:rPr>
                <w:rFonts w:cstheme="minorHAnsi"/>
                <w:sz w:val="16"/>
                <w:szCs w:val="16"/>
              </w:rPr>
            </w:pPr>
          </w:p>
        </w:tc>
        <w:tc>
          <w:tcPr>
            <w:tcW w:w="1046" w:type="dxa"/>
            <w:tcBorders>
              <w:top w:val="nil"/>
              <w:left w:val="nil"/>
              <w:bottom w:val="nil"/>
              <w:right w:val="nil"/>
            </w:tcBorders>
            <w:shd w:val="clear" w:color="auto" w:fill="auto"/>
            <w:noWrap/>
            <w:vAlign w:val="bottom"/>
            <w:hideMark/>
          </w:tcPr>
          <w:p w14:paraId="358DE6C0" w14:textId="77777777" w:rsidR="004701F4" w:rsidRPr="00A65462" w:rsidRDefault="004701F4" w:rsidP="005621E7">
            <w:pPr>
              <w:rPr>
                <w:rFonts w:cstheme="minorHAnsi"/>
                <w:sz w:val="16"/>
                <w:szCs w:val="16"/>
              </w:rPr>
            </w:pPr>
          </w:p>
        </w:tc>
      </w:tr>
    </w:tbl>
    <w:p w14:paraId="1055E88E" w14:textId="77777777" w:rsidR="004701F4" w:rsidRPr="00A65462" w:rsidRDefault="004701F4" w:rsidP="004701F4">
      <w:pPr>
        <w:spacing w:line="257" w:lineRule="auto"/>
        <w:jc w:val="both"/>
        <w:rPr>
          <w:rFonts w:ascii="Calibri" w:eastAsia="Calibri" w:hAnsi="Calibri" w:cs="Calibri"/>
          <w:b/>
          <w:bCs/>
          <w:u w:val="single"/>
        </w:rPr>
      </w:pPr>
    </w:p>
    <w:p w14:paraId="4AC756EB" w14:textId="77777777" w:rsidR="004701F4" w:rsidRPr="00A65462" w:rsidRDefault="004701F4" w:rsidP="004701F4">
      <w:pPr>
        <w:rPr>
          <w:rFonts w:ascii="Calibri" w:eastAsia="Calibri" w:hAnsi="Calibri" w:cs="Calibri"/>
          <w:b/>
          <w:bCs/>
        </w:rPr>
      </w:pPr>
      <w:r w:rsidRPr="00A65462">
        <w:rPr>
          <w:rFonts w:ascii="Calibri" w:hAnsi="Calibri"/>
          <w:b/>
          <w:bCs/>
        </w:rPr>
        <w:br w:type="page"/>
      </w:r>
    </w:p>
    <w:p w14:paraId="289EA177" w14:textId="77777777" w:rsidR="004701F4" w:rsidRPr="004701F4" w:rsidRDefault="004701F4" w:rsidP="004701F4">
      <w:pPr>
        <w:spacing w:line="257" w:lineRule="auto"/>
        <w:jc w:val="both"/>
        <w:rPr>
          <w:rFonts w:ascii="Calibri" w:eastAsia="Calibri" w:hAnsi="Calibri" w:cs="Calibri"/>
          <w:b/>
          <w:bCs/>
          <w:u w:val="single"/>
          <w:lang w:val="en-GB"/>
        </w:rPr>
      </w:pPr>
      <w:r w:rsidRPr="004701F4">
        <w:rPr>
          <w:rFonts w:ascii="Calibri" w:hAnsi="Calibri"/>
          <w:b/>
          <w:u w:val="single"/>
          <w:lang w:val="en-GB"/>
        </w:rPr>
        <w:lastRenderedPageBreak/>
        <w:t>No light at the end of the tunnel yet</w:t>
      </w:r>
    </w:p>
    <w:p w14:paraId="68A510A5" w14:textId="77777777" w:rsidR="004701F4" w:rsidRPr="004701F4" w:rsidRDefault="004701F4" w:rsidP="004701F4">
      <w:pPr>
        <w:spacing w:line="257" w:lineRule="auto"/>
        <w:jc w:val="both"/>
        <w:rPr>
          <w:rFonts w:ascii="Calibri" w:eastAsia="Calibri" w:hAnsi="Calibri" w:cs="Calibri"/>
          <w:sz w:val="10"/>
          <w:szCs w:val="10"/>
          <w:lang w:val="en-GB"/>
        </w:rPr>
      </w:pPr>
    </w:p>
    <w:p w14:paraId="1F7C6F8C" w14:textId="77777777" w:rsidR="004701F4" w:rsidRPr="004701F4" w:rsidRDefault="004701F4" w:rsidP="004701F4">
      <w:pPr>
        <w:spacing w:line="257" w:lineRule="auto"/>
        <w:jc w:val="both"/>
        <w:rPr>
          <w:rFonts w:ascii="Calibri" w:eastAsia="Calibri" w:hAnsi="Calibri" w:cs="Calibri"/>
          <w:lang w:val="en-GB"/>
        </w:rPr>
      </w:pPr>
      <w:r w:rsidRPr="004701F4">
        <w:rPr>
          <w:rFonts w:ascii="Calibri" w:hAnsi="Calibri"/>
          <w:lang w:val="en-GB"/>
        </w:rPr>
        <w:t>In the wake of the energy crisis and high inflation, the central banks raised their key interest rates following a long period of zero or negative interest rates, with the intention of tempering runaway inflation. This has only been partially successful and has resulted in high interest rates for businesses and consumers. Construction has therefore become that bit more expensive and this has also had an impact on the furniture sector, since fewer new buildings means fewer new fitting projects and interiors/exteriors that do not come about until the end of the building process.</w:t>
      </w:r>
    </w:p>
    <w:p w14:paraId="03D00D07" w14:textId="77777777" w:rsidR="004701F4" w:rsidRPr="004701F4" w:rsidRDefault="004701F4" w:rsidP="004701F4">
      <w:pPr>
        <w:spacing w:line="257" w:lineRule="auto"/>
        <w:jc w:val="both"/>
        <w:rPr>
          <w:rFonts w:ascii="Calibri" w:eastAsia="Calibri" w:hAnsi="Calibri" w:cs="Calibri"/>
          <w:sz w:val="8"/>
          <w:szCs w:val="8"/>
          <w:lang w:val="en-GB"/>
        </w:rPr>
      </w:pPr>
    </w:p>
    <w:p w14:paraId="5F907DBD" w14:textId="77777777" w:rsidR="004701F4" w:rsidRPr="004701F4" w:rsidRDefault="004701F4" w:rsidP="004701F4">
      <w:pPr>
        <w:spacing w:line="257" w:lineRule="auto"/>
        <w:jc w:val="both"/>
        <w:rPr>
          <w:rFonts w:ascii="Calibri" w:eastAsia="Calibri" w:hAnsi="Calibri" w:cs="Calibri"/>
          <w:lang w:val="en-GB"/>
        </w:rPr>
      </w:pPr>
      <w:r w:rsidRPr="004701F4">
        <w:rPr>
          <w:rFonts w:ascii="Calibri" w:hAnsi="Calibri"/>
          <w:lang w:val="en-GB"/>
        </w:rPr>
        <w:t>The recent flare-up of violence in the Middle East has since caused fresh tensions in the energy markets and resulted in further uncertainty among both consumers and producers. The latter are not anticipating an upturn in the furniture market right now and are setting their sights on 2024 and 2025.</w:t>
      </w:r>
    </w:p>
    <w:p w14:paraId="45349E57" w14:textId="77777777" w:rsidR="004701F4" w:rsidRPr="004701F4" w:rsidRDefault="004701F4" w:rsidP="004701F4">
      <w:pPr>
        <w:spacing w:line="257" w:lineRule="auto"/>
        <w:jc w:val="both"/>
        <w:rPr>
          <w:rFonts w:ascii="Calibri" w:eastAsia="Calibri" w:hAnsi="Calibri" w:cs="Calibri"/>
          <w:sz w:val="8"/>
          <w:szCs w:val="8"/>
          <w:lang w:val="en-GB"/>
        </w:rPr>
      </w:pPr>
    </w:p>
    <w:p w14:paraId="0EAB51EA" w14:textId="77777777" w:rsidR="004701F4" w:rsidRPr="004701F4" w:rsidRDefault="004701F4" w:rsidP="004701F4">
      <w:pPr>
        <w:spacing w:line="257" w:lineRule="auto"/>
        <w:jc w:val="both"/>
        <w:rPr>
          <w:rFonts w:ascii="Calibri" w:eastAsia="Calibri" w:hAnsi="Calibri" w:cs="Calibri"/>
          <w:lang w:val="en-GB"/>
        </w:rPr>
      </w:pPr>
      <w:r w:rsidRPr="004701F4">
        <w:rPr>
          <w:rFonts w:ascii="Calibri" w:hAnsi="Calibri"/>
          <w:lang w:val="en-GB"/>
        </w:rPr>
        <w:t>Even so, they are not giving up and are working hard on their own future, with a focus on product development, design and innovation, not forgetting the challenges set by the European Green Deal geared towards circularity and sustainability.</w:t>
      </w:r>
    </w:p>
    <w:p w14:paraId="5D723D78" w14:textId="77777777" w:rsidR="004701F4" w:rsidRPr="004701F4" w:rsidRDefault="004701F4" w:rsidP="004701F4">
      <w:pPr>
        <w:spacing w:line="257" w:lineRule="auto"/>
        <w:jc w:val="both"/>
        <w:rPr>
          <w:rFonts w:ascii="Calibri" w:eastAsia="Calibri" w:hAnsi="Calibri" w:cs="Calibri"/>
          <w:sz w:val="8"/>
          <w:szCs w:val="8"/>
          <w:lang w:val="en-GB"/>
        </w:rPr>
      </w:pPr>
    </w:p>
    <w:p w14:paraId="02AD1F08" w14:textId="77777777" w:rsidR="004701F4" w:rsidRPr="004701F4" w:rsidRDefault="004701F4" w:rsidP="004701F4">
      <w:pPr>
        <w:spacing w:line="257" w:lineRule="auto"/>
        <w:jc w:val="both"/>
        <w:rPr>
          <w:rFonts w:ascii="Calibri" w:eastAsia="Calibri" w:hAnsi="Calibri" w:cs="Calibri"/>
          <w:lang w:val="en-GB"/>
        </w:rPr>
      </w:pPr>
      <w:r w:rsidRPr="004701F4">
        <w:rPr>
          <w:rFonts w:ascii="Calibri" w:hAnsi="Calibri"/>
          <w:lang w:val="en-GB"/>
        </w:rPr>
        <w:t>Fedustria is supporting its member businesses in this process and has also launched a project this year that aims to encourage young people to seek training and jobs in the woodworking and furniture sectors.</w:t>
      </w:r>
    </w:p>
    <w:p w14:paraId="468C21BD" w14:textId="77777777" w:rsidR="004701F4" w:rsidRPr="004701F4" w:rsidRDefault="004701F4" w:rsidP="004701F4">
      <w:pPr>
        <w:spacing w:line="257" w:lineRule="auto"/>
        <w:jc w:val="both"/>
        <w:rPr>
          <w:rFonts w:ascii="Calibri" w:eastAsia="Calibri" w:hAnsi="Calibri" w:cs="Calibri"/>
          <w:sz w:val="6"/>
          <w:szCs w:val="6"/>
          <w:lang w:val="en-GB"/>
        </w:rPr>
      </w:pPr>
    </w:p>
    <w:p w14:paraId="08F73378" w14:textId="77777777" w:rsidR="004701F4" w:rsidRPr="00A65462" w:rsidRDefault="004701F4" w:rsidP="004701F4">
      <w:pPr>
        <w:pStyle w:val="Heading2"/>
        <w:keepNext w:val="0"/>
        <w:widowControl w:val="0"/>
        <w:shd w:val="clear" w:color="auto" w:fill="FFFFFF"/>
        <w:rPr>
          <w:rFonts w:ascii="Arial" w:hAnsi="Arial" w:cs="Arial"/>
          <w:noProof w:val="0"/>
          <w:color w:val="202124"/>
        </w:rPr>
      </w:pPr>
      <w:r w:rsidRPr="00A65462">
        <w:rPr>
          <w:rFonts w:asciiTheme="minorHAnsi" w:hAnsiTheme="minorHAnsi"/>
          <w:noProof w:val="0"/>
          <w:sz w:val="22"/>
        </w:rPr>
        <w:t xml:space="preserve">The federation is also assisting its members in their promotion and export activities by organising group stands and prospecting trips abroad. The latter initiatives are being carried out in collaboration with FIT, Flanders Investment &amp; Trade (with which it has a strategic partnership), and AWEX, the Walloon </w:t>
      </w:r>
      <w:r w:rsidRPr="00A65462">
        <w:rPr>
          <w:rFonts w:asciiTheme="minorHAnsi" w:hAnsiTheme="minorHAnsi"/>
          <w:noProof w:val="0"/>
          <w:color w:val="202124"/>
          <w:sz w:val="22"/>
        </w:rPr>
        <w:t>Export and Foreign Investment</w:t>
      </w:r>
      <w:r w:rsidRPr="00A65462">
        <w:rPr>
          <w:rFonts w:asciiTheme="minorHAnsi" w:hAnsiTheme="minorHAnsi"/>
          <w:noProof w:val="0"/>
          <w:sz w:val="22"/>
        </w:rPr>
        <w:t xml:space="preserve"> Agency.</w:t>
      </w:r>
    </w:p>
    <w:p w14:paraId="4503B280" w14:textId="77777777" w:rsidR="004701F4" w:rsidRPr="00A65462" w:rsidRDefault="004701F4" w:rsidP="004701F4">
      <w:pPr>
        <w:pStyle w:val="BodyText"/>
        <w:pBdr>
          <w:bottom w:val="single" w:sz="4" w:space="1" w:color="auto"/>
        </w:pBdr>
        <w:rPr>
          <w:rFonts w:asciiTheme="minorHAnsi" w:hAnsiTheme="minorHAnsi" w:cstheme="minorHAnsi"/>
          <w:noProof w:val="0"/>
          <w:highlight w:val="yellow"/>
        </w:rPr>
      </w:pPr>
    </w:p>
    <w:p w14:paraId="39E3C286" w14:textId="77777777" w:rsidR="004701F4" w:rsidRPr="00A65462" w:rsidRDefault="004701F4" w:rsidP="004701F4">
      <w:pPr>
        <w:pStyle w:val="BodyText"/>
        <w:pBdr>
          <w:bottom w:val="single" w:sz="4" w:space="1" w:color="auto"/>
        </w:pBdr>
        <w:rPr>
          <w:rFonts w:asciiTheme="minorHAnsi" w:hAnsiTheme="minorHAnsi" w:cstheme="minorBidi"/>
          <w:noProof w:val="0"/>
          <w:highlight w:val="yellow"/>
        </w:rPr>
      </w:pPr>
    </w:p>
    <w:p w14:paraId="350C5B2C" w14:textId="77777777" w:rsidR="004701F4" w:rsidRDefault="004701F4" w:rsidP="004701F4">
      <w:pPr>
        <w:pStyle w:val="BodyText"/>
        <w:rPr>
          <w:rFonts w:asciiTheme="minorHAnsi" w:hAnsiTheme="minorHAnsi"/>
          <w:noProof w:val="0"/>
        </w:rPr>
      </w:pPr>
      <w:r w:rsidRPr="00A65462">
        <w:rPr>
          <w:rFonts w:asciiTheme="minorHAnsi" w:hAnsiTheme="minorHAnsi"/>
          <w:noProof w:val="0"/>
        </w:rPr>
        <w:t>Source: Fedustria</w:t>
      </w:r>
    </w:p>
    <w:p w14:paraId="59913955" w14:textId="77777777" w:rsidR="004701F4" w:rsidRDefault="004701F4" w:rsidP="004701F4">
      <w:pPr>
        <w:pStyle w:val="BodyText"/>
        <w:rPr>
          <w:rFonts w:asciiTheme="minorHAnsi" w:hAnsiTheme="minorHAnsi"/>
          <w:noProof w:val="0"/>
        </w:rPr>
      </w:pPr>
    </w:p>
    <w:p w14:paraId="54171DE2" w14:textId="6EF9FBF0" w:rsidR="004701F4" w:rsidRPr="00A65462" w:rsidRDefault="004701F4" w:rsidP="004701F4">
      <w:pPr>
        <w:pStyle w:val="BodyText"/>
        <w:rPr>
          <w:rFonts w:asciiTheme="minorHAnsi" w:hAnsiTheme="minorHAnsi" w:cstheme="minorBidi"/>
          <w:noProof w:val="0"/>
        </w:rPr>
      </w:pPr>
      <w:r>
        <w:rPr>
          <w:rFonts w:asciiTheme="minorHAnsi" w:hAnsiTheme="minorHAnsi" w:cstheme="minorHAnsi"/>
        </w:rPr>
        <w:drawing>
          <wp:inline distT="0" distB="0" distL="0" distR="0" wp14:anchorId="07431982" wp14:editId="438AA05C">
            <wp:extent cx="2019300" cy="936955"/>
            <wp:effectExtent l="0" t="0" r="0" b="0"/>
            <wp:docPr id="1353600123" name="Picture 2" descr="A logo with yellow and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00123" name="Picture 2" descr="A logo with yellow and black letter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0489" cy="942147"/>
                    </a:xfrm>
                    <a:prstGeom prst="rect">
                      <a:avLst/>
                    </a:prstGeom>
                  </pic:spPr>
                </pic:pic>
              </a:graphicData>
            </a:graphic>
          </wp:inline>
        </w:drawing>
      </w:r>
    </w:p>
    <w:p w14:paraId="3612804D" w14:textId="77777777" w:rsidR="004701F4" w:rsidRPr="00A65462" w:rsidRDefault="004701F4" w:rsidP="004701F4">
      <w:pPr>
        <w:pStyle w:val="BodyText"/>
        <w:rPr>
          <w:rFonts w:asciiTheme="minorHAnsi" w:hAnsiTheme="minorHAnsi" w:cstheme="minorBidi"/>
          <w:noProof w:val="0"/>
        </w:rPr>
      </w:pPr>
    </w:p>
    <w:p w14:paraId="7ED0D13A" w14:textId="77777777" w:rsidR="004701F4" w:rsidRPr="004701F4" w:rsidRDefault="004701F4" w:rsidP="004701F4">
      <w:pPr>
        <w:jc w:val="both"/>
        <w:textAlignment w:val="center"/>
        <w:rPr>
          <w:lang w:val="en-GB"/>
        </w:rPr>
      </w:pPr>
      <w:r w:rsidRPr="004701F4">
        <w:rPr>
          <w:i/>
          <w:lang w:val="en-GB"/>
        </w:rPr>
        <w:t>Fedustria is the Belgian federation of the textile, woodworking and furniture industries. In Belgium, we represent some 1,660 companies (more than 90% of which are SMEs), which together create 36,200 direct jobs and generate a turnover of EUR 12 billion, 70% of which comes from exports.</w:t>
      </w:r>
    </w:p>
    <w:p w14:paraId="2BF7944F" w14:textId="77777777" w:rsidR="004701F4" w:rsidRPr="00A65462" w:rsidRDefault="004701F4" w:rsidP="004701F4">
      <w:pPr>
        <w:pStyle w:val="BodyText"/>
        <w:rPr>
          <w:rFonts w:asciiTheme="minorHAnsi" w:hAnsiTheme="minorHAnsi" w:cstheme="minorBidi"/>
          <w:i/>
          <w:iCs/>
          <w:noProof w:val="0"/>
        </w:rPr>
      </w:pPr>
    </w:p>
    <w:p w14:paraId="54016673" w14:textId="77777777" w:rsidR="004701F4" w:rsidRPr="00A65462" w:rsidRDefault="004701F4" w:rsidP="004701F4">
      <w:pPr>
        <w:pStyle w:val="BodyText"/>
        <w:rPr>
          <w:rFonts w:asciiTheme="minorHAnsi" w:hAnsiTheme="minorHAnsi" w:cstheme="minorBidi"/>
          <w:i/>
          <w:iCs/>
          <w:noProof w:val="0"/>
        </w:rPr>
      </w:pPr>
      <w:r w:rsidRPr="00A65462">
        <w:rPr>
          <w:rFonts w:asciiTheme="minorHAnsi" w:hAnsiTheme="minorHAnsi"/>
          <w:i/>
          <w:noProof w:val="0"/>
        </w:rPr>
        <w:t>Taken separately, the Belgian furniture industry accounts for a turnover of EUR 2.3 billion and employs around 9,800 people.</w:t>
      </w:r>
    </w:p>
    <w:p w14:paraId="54C43C1E" w14:textId="77777777" w:rsidR="004701F4" w:rsidRPr="00A65462" w:rsidRDefault="004701F4" w:rsidP="004701F4">
      <w:pPr>
        <w:pStyle w:val="BodyText"/>
        <w:rPr>
          <w:rFonts w:asciiTheme="minorHAnsi" w:hAnsiTheme="minorHAnsi" w:cstheme="minorBidi"/>
          <w:i/>
          <w:iCs/>
          <w:noProof w:val="0"/>
        </w:rPr>
      </w:pPr>
    </w:p>
    <w:p w14:paraId="07432BC9" w14:textId="77777777" w:rsidR="004701F4" w:rsidRPr="005904E8" w:rsidRDefault="004701F4" w:rsidP="004701F4">
      <w:pPr>
        <w:pStyle w:val="BodyText"/>
        <w:tabs>
          <w:tab w:val="clear" w:pos="3884"/>
        </w:tabs>
        <w:rPr>
          <w:rFonts w:asciiTheme="minorHAnsi" w:hAnsiTheme="minorHAnsi" w:cstheme="minorBidi"/>
          <w:noProof w:val="0"/>
          <w:lang w:val="fr-BE"/>
        </w:rPr>
      </w:pPr>
      <w:r w:rsidRPr="005904E8">
        <w:rPr>
          <w:rFonts w:asciiTheme="minorHAnsi" w:hAnsiTheme="minorHAnsi"/>
          <w:noProof w:val="0"/>
          <w:u w:val="single"/>
          <w:lang w:val="fr-BE"/>
        </w:rPr>
        <w:t>For more information</w:t>
      </w:r>
      <w:r w:rsidRPr="005904E8">
        <w:rPr>
          <w:rFonts w:asciiTheme="minorHAnsi" w:hAnsiTheme="minorHAnsi"/>
          <w:noProof w:val="0"/>
          <w:lang w:val="fr-BE"/>
        </w:rPr>
        <w:t xml:space="preserve">: </w:t>
      </w:r>
    </w:p>
    <w:p w14:paraId="36F36C2D" w14:textId="77777777" w:rsidR="004701F4" w:rsidRPr="005904E8" w:rsidRDefault="004701F4" w:rsidP="004701F4">
      <w:pPr>
        <w:pStyle w:val="BodyText"/>
        <w:tabs>
          <w:tab w:val="clear" w:pos="3884"/>
        </w:tabs>
        <w:rPr>
          <w:rStyle w:val="Hyperlink"/>
          <w:rFonts w:asciiTheme="minorHAnsi" w:eastAsiaTheme="minorEastAsia" w:hAnsiTheme="minorHAnsi" w:cstheme="minorBidi"/>
          <w:noProof w:val="0"/>
          <w:lang w:val="fr-BE"/>
        </w:rPr>
      </w:pPr>
      <w:r w:rsidRPr="005904E8">
        <w:rPr>
          <w:rFonts w:asciiTheme="minorHAnsi" w:hAnsiTheme="minorHAnsi"/>
          <w:noProof w:val="0"/>
          <w:lang w:val="fr-BE"/>
        </w:rPr>
        <w:t>Filip De Jaeger, COO, +32 486 898184, filip.de.jaeger@fedustria.be</w:t>
      </w:r>
    </w:p>
    <w:p w14:paraId="3389CFFE" w14:textId="77777777" w:rsidR="004701F4" w:rsidRPr="005904E8" w:rsidRDefault="004701F4" w:rsidP="004701F4">
      <w:pPr>
        <w:tabs>
          <w:tab w:val="left" w:pos="5387"/>
        </w:tabs>
        <w:jc w:val="both"/>
        <w:rPr>
          <w:rFonts w:cstheme="minorHAnsi"/>
        </w:rPr>
      </w:pPr>
      <w:r w:rsidRPr="005904E8">
        <w:t>Katja De Vos, Communications Officer, +32 476 316467, katja.devos@fedustria.be</w:t>
      </w:r>
    </w:p>
    <w:p w14:paraId="5AA7178A" w14:textId="4684B445" w:rsidR="00605668" w:rsidRPr="004701F4" w:rsidRDefault="00B33B83" w:rsidP="004701F4">
      <w:pPr>
        <w:pStyle w:val="ListParagraph"/>
        <w:numPr>
          <w:ilvl w:val="0"/>
          <w:numId w:val="7"/>
        </w:numPr>
        <w:rPr>
          <w:b/>
          <w:bCs/>
          <w:lang w:val="en-GB"/>
        </w:rPr>
      </w:pPr>
      <w:r w:rsidRPr="004701F4">
        <w:rPr>
          <w:b/>
          <w:bCs/>
          <w:lang w:val="en-GB"/>
        </w:rPr>
        <w:lastRenderedPageBreak/>
        <w:t>BRUSSELS FURNITURE FAIR</w:t>
      </w:r>
    </w:p>
    <w:p w14:paraId="168A4558" w14:textId="77777777" w:rsidR="000A79BE" w:rsidRPr="00B33B83" w:rsidRDefault="000A79BE">
      <w:pPr>
        <w:rPr>
          <w:b/>
          <w:bCs/>
          <w:lang w:val="en-GB"/>
        </w:rPr>
      </w:pPr>
    </w:p>
    <w:p w14:paraId="21885826" w14:textId="6673C07B" w:rsidR="00605668" w:rsidRPr="006E74AD" w:rsidRDefault="000A79BE">
      <w:pPr>
        <w:rPr>
          <w:b/>
          <w:bCs/>
          <w:lang w:val="en-GB"/>
        </w:rPr>
      </w:pPr>
      <w:r w:rsidRPr="00B33B83">
        <w:rPr>
          <w:b/>
          <w:bCs/>
          <w:lang w:val="en-GB"/>
        </w:rPr>
        <w:t>CAMPA</w:t>
      </w:r>
      <w:r w:rsidR="00B33B83" w:rsidRPr="00B33B83">
        <w:rPr>
          <w:b/>
          <w:bCs/>
          <w:lang w:val="en-GB"/>
        </w:rPr>
        <w:t>IGN</w:t>
      </w:r>
      <w:r w:rsidRPr="00B33B83">
        <w:rPr>
          <w:b/>
          <w:bCs/>
          <w:lang w:val="en-GB"/>
        </w:rPr>
        <w:t xml:space="preserve"> 2023</w:t>
      </w:r>
      <w:r w:rsidR="004701F4">
        <w:rPr>
          <w:b/>
          <w:bCs/>
          <w:lang w:val="en-GB"/>
        </w:rPr>
        <w:t xml:space="preserve"> - </w:t>
      </w:r>
      <w:r w:rsidR="00B633EE">
        <w:rPr>
          <w:b/>
          <w:bCs/>
          <w:lang w:val="en-GB"/>
        </w:rPr>
        <w:t xml:space="preserve">The </w:t>
      </w:r>
      <w:r w:rsidR="00605668" w:rsidRPr="006E74AD">
        <w:rPr>
          <w:b/>
          <w:bCs/>
          <w:lang w:val="en-GB"/>
        </w:rPr>
        <w:t>Future is Furnature</w:t>
      </w:r>
    </w:p>
    <w:p w14:paraId="2250E415" w14:textId="7B50ED0B" w:rsidR="00605668" w:rsidRDefault="00470A0C">
      <w:pPr>
        <w:rPr>
          <w:lang w:val="en-GB"/>
        </w:rPr>
      </w:pPr>
      <w:r>
        <w:rPr>
          <w:lang w:val="en-GB"/>
        </w:rPr>
        <w:t>For over 20 years</w:t>
      </w:r>
      <w:r w:rsidRPr="00470A0C">
        <w:rPr>
          <w:lang w:val="en-GB"/>
        </w:rPr>
        <w:t xml:space="preserve">, the </w:t>
      </w:r>
      <w:r w:rsidR="00D31A37">
        <w:rPr>
          <w:lang w:val="en-GB"/>
        </w:rPr>
        <w:t>Brussels Furniture Fair</w:t>
      </w:r>
      <w:r w:rsidRPr="00470A0C">
        <w:rPr>
          <w:lang w:val="en-GB"/>
        </w:rPr>
        <w:t xml:space="preserve"> has come up with a new campaign image every year. Here we recognise some recurring elements</w:t>
      </w:r>
      <w:r w:rsidR="00E8588A">
        <w:rPr>
          <w:lang w:val="en-GB"/>
        </w:rPr>
        <w:t xml:space="preserve"> </w:t>
      </w:r>
      <w:r w:rsidRPr="00470A0C">
        <w:rPr>
          <w:lang w:val="en-GB"/>
        </w:rPr>
        <w:t xml:space="preserve">: furniture, aesthetics, cosiness &amp; hospitality and business. Elements that were also largely incorporated in the current campaign, albeit with a strong focus on nature. However, </w:t>
      </w:r>
      <w:r w:rsidR="00E8588A">
        <w:rPr>
          <w:lang w:val="en-GB"/>
        </w:rPr>
        <w:t xml:space="preserve">one important element was missing </w:t>
      </w:r>
      <w:r w:rsidRPr="00470A0C">
        <w:rPr>
          <w:lang w:val="en-GB"/>
        </w:rPr>
        <w:t>in previous campaigns, and yet it is part of the core of our business, the future! Future-oriented action and thinking are indeed central to the formula that makes the Brussels Furniture Fair a success. After all, that is what it is all about for our visitors and exhibitors: using the fair as a tool to build a successful business.</w:t>
      </w:r>
      <w:r w:rsidR="00825B30" w:rsidRPr="00470A0C">
        <w:rPr>
          <w:lang w:val="en-GB"/>
        </w:rPr>
        <w:t xml:space="preserve"> </w:t>
      </w:r>
    </w:p>
    <w:p w14:paraId="771435C4" w14:textId="77777777" w:rsidR="00BE23F6" w:rsidRPr="00470A0C" w:rsidRDefault="00BE23F6">
      <w:pPr>
        <w:rPr>
          <w:lang w:val="en-GB"/>
        </w:rPr>
      </w:pPr>
    </w:p>
    <w:p w14:paraId="13AA9776" w14:textId="651618DD" w:rsidR="004E3E78" w:rsidRPr="00470A0C" w:rsidRDefault="004E3E78">
      <w:pPr>
        <w:rPr>
          <w:b/>
          <w:bCs/>
          <w:lang w:val="en-GB"/>
        </w:rPr>
      </w:pPr>
      <w:r w:rsidRPr="00470A0C">
        <w:rPr>
          <w:b/>
          <w:bCs/>
          <w:lang w:val="en-GB"/>
        </w:rPr>
        <w:t>ECO-</w:t>
      </w:r>
      <w:r w:rsidR="00B33B83">
        <w:rPr>
          <w:b/>
          <w:bCs/>
          <w:lang w:val="en-GB"/>
        </w:rPr>
        <w:t>initiatives</w:t>
      </w:r>
    </w:p>
    <w:p w14:paraId="1BC84A63" w14:textId="66F0A8F4" w:rsidR="002171E9" w:rsidRPr="00470A0C" w:rsidRDefault="00470A0C">
      <w:pPr>
        <w:rPr>
          <w:lang w:val="en-GB"/>
        </w:rPr>
      </w:pPr>
      <w:r w:rsidRPr="00470A0C">
        <w:rPr>
          <w:lang w:val="en-GB"/>
        </w:rPr>
        <w:t xml:space="preserve">Anyone looking to the future today cannot possibly look past the ever-increasing focus on ecologically responsible action. But what exactly does this concept mean? It is striking that many initiatives are being undertaken, but there is not yet a clear line on which the furniture manufacturer or retailer can build its policy vision. As a platform for the furniture sector, the Furniture Fair therefore aims to disseminate this information. To this end, we created the 'ECO-Stories' mark, which can be found on the hall plan. The name ECO-Stories </w:t>
      </w:r>
      <w:r w:rsidR="003E0F85">
        <w:rPr>
          <w:lang w:val="en-GB"/>
        </w:rPr>
        <w:t xml:space="preserve">was carefully chosen as by no means is it a label, </w:t>
      </w:r>
      <w:r w:rsidRPr="00470A0C">
        <w:rPr>
          <w:lang w:val="en-GB"/>
        </w:rPr>
        <w:t xml:space="preserve">but </w:t>
      </w:r>
      <w:r w:rsidR="003E0F85">
        <w:rPr>
          <w:lang w:val="en-GB"/>
        </w:rPr>
        <w:t xml:space="preserve">rather </w:t>
      </w:r>
      <w:r w:rsidRPr="00470A0C">
        <w:rPr>
          <w:lang w:val="en-GB"/>
        </w:rPr>
        <w:t>a medium that encourages the sharing of information and experiences. Here, we distinguish between stories from furniture manufacturers, our exhibitors, and non-manufacturers.</w:t>
      </w:r>
    </w:p>
    <w:p w14:paraId="43EE1180" w14:textId="7A433CDF" w:rsidR="002171E9" w:rsidRPr="00470A0C" w:rsidRDefault="00470A0C">
      <w:pPr>
        <w:rPr>
          <w:lang w:val="en-GB"/>
        </w:rPr>
      </w:pPr>
      <w:r w:rsidRPr="00470A0C">
        <w:rPr>
          <w:lang w:val="en-GB"/>
        </w:rPr>
        <w:t>The Brussels Furniture AFfairs newsletter and blog already shared some ECO-Stories from our exhibitors. Below, we list all exhibitors with an ECO-Stories mark, and pick out the most striking stories.</w:t>
      </w:r>
    </w:p>
    <w:p w14:paraId="20EA4EBC" w14:textId="66FFC0E6" w:rsidR="00EB4C43" w:rsidRPr="00470A0C" w:rsidRDefault="00470A0C">
      <w:pPr>
        <w:rPr>
          <w:lang w:val="en-GB"/>
        </w:rPr>
      </w:pPr>
      <w:r w:rsidRPr="00470A0C">
        <w:rPr>
          <w:lang w:val="en-GB"/>
        </w:rPr>
        <w:t>Exhibitors with ECO Stories</w:t>
      </w:r>
      <w:r w:rsidR="002171E9" w:rsidRPr="00470A0C">
        <w:rPr>
          <w:lang w:val="en-GB"/>
        </w:rPr>
        <w:t xml:space="preserve">: Arbres de Vie, </w:t>
      </w:r>
      <w:r w:rsidR="00FC1AB1" w:rsidRPr="00470A0C">
        <w:rPr>
          <w:lang w:val="en-GB"/>
        </w:rPr>
        <w:t>Arctic Living, Aya of Sweden, Benoa, De Eekhoorn, Ecolife Beds, Fantasia, Forte, Glam-more, Herleven, Het Anker, Isbir Bedding, Nicoletti Home, Perfecta, Rauch, Revor, Saunaco, Staud, Theuns, Toon de Somer, Wima, Wimex, Wöstmann.</w:t>
      </w:r>
    </w:p>
    <w:p w14:paraId="764BEE4D" w14:textId="16D98A56" w:rsidR="00F92C72" w:rsidRPr="00470A0C" w:rsidRDefault="00FC1AB1" w:rsidP="002171E9">
      <w:pPr>
        <w:pStyle w:val="ListParagraph"/>
        <w:numPr>
          <w:ilvl w:val="0"/>
          <w:numId w:val="2"/>
        </w:numPr>
        <w:rPr>
          <w:lang w:val="en-GB"/>
        </w:rPr>
      </w:pPr>
      <w:r w:rsidRPr="00470A0C">
        <w:rPr>
          <w:lang w:val="en-GB"/>
        </w:rPr>
        <w:t>Herleven</w:t>
      </w:r>
      <w:r w:rsidR="002171E9" w:rsidRPr="00470A0C">
        <w:rPr>
          <w:lang w:val="en-GB"/>
        </w:rPr>
        <w:t>:</w:t>
      </w:r>
      <w:r w:rsidR="00BB4AED" w:rsidRPr="00470A0C">
        <w:rPr>
          <w:lang w:val="en-GB"/>
        </w:rPr>
        <w:t xml:space="preserve"> </w:t>
      </w:r>
      <w:r w:rsidR="00470A0C" w:rsidRPr="00470A0C">
        <w:rPr>
          <w:lang w:val="en-GB"/>
        </w:rPr>
        <w:t>High-quality furniture made from recycled waste, with a focus on sustainability</w:t>
      </w:r>
      <w:r w:rsidR="00BB4AED" w:rsidRPr="00470A0C">
        <w:rPr>
          <w:lang w:val="en-GB"/>
        </w:rPr>
        <w:t>.</w:t>
      </w:r>
    </w:p>
    <w:p w14:paraId="34169559" w14:textId="5BB059FD" w:rsidR="002171E9" w:rsidRPr="00470A0C" w:rsidRDefault="002171E9" w:rsidP="00F92C72">
      <w:pPr>
        <w:pStyle w:val="ListParagraph"/>
        <w:numPr>
          <w:ilvl w:val="0"/>
          <w:numId w:val="2"/>
        </w:numPr>
        <w:rPr>
          <w:lang w:val="en-GB"/>
        </w:rPr>
      </w:pPr>
      <w:r w:rsidRPr="00470A0C">
        <w:rPr>
          <w:lang w:val="en-GB"/>
        </w:rPr>
        <w:t>Ecolife Beds</w:t>
      </w:r>
      <w:r w:rsidR="00BB4AED" w:rsidRPr="00470A0C">
        <w:rPr>
          <w:lang w:val="en-GB"/>
        </w:rPr>
        <w:t xml:space="preserve">: </w:t>
      </w:r>
      <w:r w:rsidR="00470A0C" w:rsidRPr="00470A0C">
        <w:rPr>
          <w:lang w:val="en-GB"/>
        </w:rPr>
        <w:t xml:space="preserve">A vegan bed manufacturer. Does not use plastic, chemical </w:t>
      </w:r>
      <w:r w:rsidR="00F40DFC">
        <w:rPr>
          <w:lang w:val="en-GB"/>
        </w:rPr>
        <w:t>or</w:t>
      </w:r>
      <w:r w:rsidR="00470A0C" w:rsidRPr="00470A0C">
        <w:rPr>
          <w:lang w:val="en-GB"/>
        </w:rPr>
        <w:t xml:space="preserve"> synthetic additives</w:t>
      </w:r>
      <w:r w:rsidR="00E85309" w:rsidRPr="00470A0C">
        <w:rPr>
          <w:lang w:val="en-GB"/>
        </w:rPr>
        <w:t>.</w:t>
      </w:r>
    </w:p>
    <w:p w14:paraId="706D229A" w14:textId="219A576D" w:rsidR="002171E9" w:rsidRPr="00470A0C" w:rsidRDefault="002171E9" w:rsidP="00F92C72">
      <w:pPr>
        <w:pStyle w:val="ListParagraph"/>
        <w:numPr>
          <w:ilvl w:val="0"/>
          <w:numId w:val="2"/>
        </w:numPr>
        <w:rPr>
          <w:lang w:val="en-GB"/>
        </w:rPr>
      </w:pPr>
      <w:r w:rsidRPr="00470A0C">
        <w:rPr>
          <w:lang w:val="en-GB"/>
        </w:rPr>
        <w:t>Arctic Living</w:t>
      </w:r>
      <w:r w:rsidR="00470A0C">
        <w:rPr>
          <w:lang w:val="en-GB"/>
        </w:rPr>
        <w:t xml:space="preserve">: </w:t>
      </w:r>
      <w:r w:rsidR="00470A0C" w:rsidRPr="00470A0C">
        <w:rPr>
          <w:lang w:val="en-GB"/>
        </w:rPr>
        <w:t>Minimising CO2 emissions and using renewable forms of energy are central to the production process at Arctic Living</w:t>
      </w:r>
      <w:r w:rsidR="00E85309" w:rsidRPr="00470A0C">
        <w:rPr>
          <w:lang w:val="en-GB"/>
        </w:rPr>
        <w:t>.</w:t>
      </w:r>
    </w:p>
    <w:p w14:paraId="1B73D5EC" w14:textId="5568D397" w:rsidR="002171E9" w:rsidRPr="00470A0C" w:rsidRDefault="002171E9" w:rsidP="00F92C72">
      <w:pPr>
        <w:pStyle w:val="ListParagraph"/>
        <w:numPr>
          <w:ilvl w:val="0"/>
          <w:numId w:val="2"/>
        </w:numPr>
        <w:rPr>
          <w:lang w:val="en-GB"/>
        </w:rPr>
      </w:pPr>
      <w:r w:rsidRPr="00470A0C">
        <w:rPr>
          <w:lang w:val="en-GB"/>
        </w:rPr>
        <w:t>Revor</w:t>
      </w:r>
      <w:r w:rsidR="00462910" w:rsidRPr="00470A0C">
        <w:rPr>
          <w:lang w:val="en-GB"/>
        </w:rPr>
        <w:t xml:space="preserve">: </w:t>
      </w:r>
      <w:r w:rsidR="00470A0C" w:rsidRPr="00470A0C">
        <w:rPr>
          <w:lang w:val="en-GB"/>
        </w:rPr>
        <w:t>Fully circular mattress. In other words, all the materials incorporated in these mattresses can be reused endlessly, without loss of quality</w:t>
      </w:r>
      <w:r w:rsidR="00462910" w:rsidRPr="00470A0C">
        <w:rPr>
          <w:lang w:val="en-GB"/>
        </w:rPr>
        <w:t>.</w:t>
      </w:r>
    </w:p>
    <w:p w14:paraId="532AC05C" w14:textId="3A9BFA98" w:rsidR="00F92C72" w:rsidRPr="00470A0C" w:rsidRDefault="00470A0C">
      <w:pPr>
        <w:rPr>
          <w:lang w:val="en-GB"/>
        </w:rPr>
      </w:pPr>
      <w:r w:rsidRPr="00470A0C">
        <w:rPr>
          <w:lang w:val="en-GB"/>
        </w:rPr>
        <w:t xml:space="preserve">That companies pay attention to ecology and communicate about it is not a new trend, what is increasingly noticeable </w:t>
      </w:r>
      <w:r w:rsidR="00CF76AD">
        <w:rPr>
          <w:lang w:val="en-GB"/>
        </w:rPr>
        <w:t xml:space="preserve">however </w:t>
      </w:r>
      <w:r w:rsidRPr="00470A0C">
        <w:rPr>
          <w:lang w:val="en-GB"/>
        </w:rPr>
        <w:t xml:space="preserve">is an evolution where there is more detailed communication about the weight of actions taken. When looking for trends based on our own ECO-Stories </w:t>
      </w:r>
      <w:r w:rsidR="00CF76AD">
        <w:rPr>
          <w:lang w:val="en-GB"/>
        </w:rPr>
        <w:t>mark</w:t>
      </w:r>
      <w:r w:rsidRPr="00470A0C">
        <w:rPr>
          <w:lang w:val="en-GB"/>
        </w:rPr>
        <w:t>, we can state, admittedly without any scientific relevance, that especially manufacturers from Germany and manufacturers in the bedding sector are willing to share their experiences. In Germany, the use of various labels stands out. These eco-labels are considered respectable, objective labels, with which the furniture industry in Germany is clearly leading the way.</w:t>
      </w:r>
      <w:r w:rsidR="00E96547">
        <w:rPr>
          <w:lang w:val="en-GB"/>
        </w:rPr>
        <w:t xml:space="preserve"> </w:t>
      </w:r>
      <w:r w:rsidR="00E96547" w:rsidRPr="00470A0C">
        <w:rPr>
          <w:lang w:val="en-GB"/>
        </w:rPr>
        <w:t>We also noticed through the communication channels of the exhibitors themselves that many of them pay attention to ecology, but do not consider their initiatives sufficient to tell an ECO story around it.</w:t>
      </w:r>
    </w:p>
    <w:p w14:paraId="75E77B90" w14:textId="52439BAC" w:rsidR="000E1BE7" w:rsidRPr="00470A0C" w:rsidRDefault="00470A0C">
      <w:pPr>
        <w:rPr>
          <w:rFonts w:cstheme="minorHAnsi"/>
          <w:lang w:val="en-GB"/>
        </w:rPr>
      </w:pPr>
      <w:r w:rsidRPr="00470A0C">
        <w:rPr>
          <w:lang w:val="en-GB"/>
        </w:rPr>
        <w:lastRenderedPageBreak/>
        <w:t xml:space="preserve">On the </w:t>
      </w:r>
      <w:r>
        <w:rPr>
          <w:lang w:val="en-GB"/>
        </w:rPr>
        <w:t>posterboards</w:t>
      </w:r>
      <w:r w:rsidRPr="00470A0C">
        <w:rPr>
          <w:lang w:val="en-GB"/>
        </w:rPr>
        <w:t xml:space="preserve"> in Hall 3 (Zone Square), we also draw attention to the ECO stories of other actors in our sector through posters. These stories can inspire retailers and exhibitors to write their own ECO story, but they also contain </w:t>
      </w:r>
      <w:r w:rsidR="00D10EE1">
        <w:rPr>
          <w:lang w:val="en-GB"/>
        </w:rPr>
        <w:t>specific i</w:t>
      </w:r>
      <w:r w:rsidRPr="00470A0C">
        <w:rPr>
          <w:lang w:val="en-GB"/>
        </w:rPr>
        <w:t xml:space="preserve">nformation </w:t>
      </w:r>
      <w:r w:rsidR="00D10EE1">
        <w:rPr>
          <w:lang w:val="en-GB"/>
        </w:rPr>
        <w:t>anyone can use t</w:t>
      </w:r>
      <w:r w:rsidRPr="00470A0C">
        <w:rPr>
          <w:lang w:val="en-GB"/>
        </w:rPr>
        <w:t xml:space="preserve">o work with </w:t>
      </w:r>
      <w:r w:rsidR="00D10EE1">
        <w:rPr>
          <w:lang w:val="en-GB"/>
        </w:rPr>
        <w:t xml:space="preserve">straight </w:t>
      </w:r>
      <w:r w:rsidRPr="00470A0C">
        <w:rPr>
          <w:lang w:val="en-GB"/>
        </w:rPr>
        <w:t>away</w:t>
      </w:r>
      <w:r w:rsidR="000E1BE7" w:rsidRPr="00470A0C">
        <w:rPr>
          <w:rFonts w:cstheme="minorHAnsi"/>
          <w:lang w:val="en-GB"/>
        </w:rPr>
        <w:t>.</w:t>
      </w:r>
    </w:p>
    <w:p w14:paraId="0970D7E8" w14:textId="37AE6C4C" w:rsidR="00650451" w:rsidRPr="00470A0C" w:rsidRDefault="00470A0C">
      <w:pPr>
        <w:rPr>
          <w:rFonts w:cstheme="minorHAnsi"/>
          <w:color w:val="000000" w:themeColor="text1"/>
          <w:lang w:val="en-GB"/>
        </w:rPr>
      </w:pPr>
      <w:r w:rsidRPr="00470A0C">
        <w:rPr>
          <w:rFonts w:cstheme="minorHAnsi"/>
          <w:lang w:val="en-GB"/>
        </w:rPr>
        <w:t>Some of these ECO stories and actors</w:t>
      </w:r>
      <w:r w:rsidR="00814486" w:rsidRPr="00470A0C">
        <w:rPr>
          <w:rFonts w:cstheme="minorHAnsi"/>
          <w:color w:val="000000" w:themeColor="text1"/>
          <w:lang w:val="en-GB"/>
        </w:rPr>
        <w:t>:</w:t>
      </w:r>
    </w:p>
    <w:p w14:paraId="64A332F6" w14:textId="4A92980A" w:rsidR="000E1BE7" w:rsidRPr="00470A0C" w:rsidRDefault="00D00BAF" w:rsidP="000E1BE7">
      <w:pPr>
        <w:pStyle w:val="ListParagraph"/>
        <w:numPr>
          <w:ilvl w:val="0"/>
          <w:numId w:val="2"/>
        </w:numPr>
        <w:rPr>
          <w:rFonts w:cstheme="minorHAnsi"/>
          <w:color w:val="000000" w:themeColor="text1"/>
          <w:lang w:val="en-GB"/>
        </w:rPr>
      </w:pPr>
      <w:r w:rsidRPr="00470A0C">
        <w:rPr>
          <w:rFonts w:cstheme="minorHAnsi"/>
          <w:color w:val="000000" w:themeColor="text1"/>
          <w:lang w:val="en-GB"/>
        </w:rPr>
        <w:t>Circular Business Awards</w:t>
      </w:r>
      <w:r w:rsidR="000251C4" w:rsidRPr="00470A0C">
        <w:rPr>
          <w:rFonts w:cstheme="minorHAnsi"/>
          <w:color w:val="000000" w:themeColor="text1"/>
          <w:lang w:val="en-GB"/>
        </w:rPr>
        <w:t xml:space="preserve">: </w:t>
      </w:r>
      <w:r w:rsidR="00470A0C" w:rsidRPr="00470A0C">
        <w:rPr>
          <w:rFonts w:cstheme="minorHAnsi"/>
          <w:color w:val="000000" w:themeColor="text1"/>
          <w:shd w:val="clear" w:color="auto" w:fill="FFFFFF"/>
          <w:lang w:val="en-GB"/>
        </w:rPr>
        <w:t>With the Circular Business Awards, the FEB aims to reward companies that have successfully embraced a circular business model</w:t>
      </w:r>
      <w:r w:rsidR="003D0C26" w:rsidRPr="00470A0C">
        <w:rPr>
          <w:rFonts w:cstheme="minorHAnsi"/>
          <w:color w:val="000000" w:themeColor="text1"/>
          <w:shd w:val="clear" w:color="auto" w:fill="FFFFFF"/>
          <w:lang w:val="en-GB"/>
        </w:rPr>
        <w:t>.</w:t>
      </w:r>
    </w:p>
    <w:p w14:paraId="5ACFE8FD" w14:textId="0FCBDF8D" w:rsidR="00D00BAF" w:rsidRPr="00470A0C" w:rsidRDefault="00D00BAF" w:rsidP="000E1BE7">
      <w:pPr>
        <w:pStyle w:val="ListParagraph"/>
        <w:numPr>
          <w:ilvl w:val="0"/>
          <w:numId w:val="2"/>
        </w:numPr>
        <w:rPr>
          <w:rFonts w:cstheme="minorHAnsi"/>
          <w:lang w:val="en-GB"/>
        </w:rPr>
      </w:pPr>
      <w:r w:rsidRPr="00470A0C">
        <w:rPr>
          <w:rFonts w:cstheme="minorHAnsi"/>
          <w:lang w:val="en-GB"/>
        </w:rPr>
        <w:t xml:space="preserve">Circular </w:t>
      </w:r>
      <w:r w:rsidR="00B633EE">
        <w:rPr>
          <w:rFonts w:cstheme="minorHAnsi"/>
          <w:lang w:val="en-GB"/>
        </w:rPr>
        <w:t>H</w:t>
      </w:r>
      <w:r w:rsidRPr="00470A0C">
        <w:rPr>
          <w:rFonts w:cstheme="minorHAnsi"/>
          <w:lang w:val="en-GB"/>
        </w:rPr>
        <w:t xml:space="preserve">otel </w:t>
      </w:r>
      <w:r w:rsidR="00B633EE">
        <w:rPr>
          <w:rFonts w:cstheme="minorHAnsi"/>
          <w:lang w:val="en-GB"/>
        </w:rPr>
        <w:t>I</w:t>
      </w:r>
      <w:r w:rsidRPr="00470A0C">
        <w:rPr>
          <w:rFonts w:cstheme="minorHAnsi"/>
          <w:lang w:val="en-GB"/>
        </w:rPr>
        <w:t>nterior</w:t>
      </w:r>
      <w:r w:rsidR="009D04C3" w:rsidRPr="00470A0C">
        <w:rPr>
          <w:rFonts w:cstheme="minorHAnsi"/>
          <w:lang w:val="en-GB"/>
        </w:rPr>
        <w:t xml:space="preserve">: </w:t>
      </w:r>
      <w:r w:rsidR="00470A0C" w:rsidRPr="00470A0C">
        <w:rPr>
          <w:rFonts w:cstheme="minorHAnsi"/>
          <w:color w:val="000000"/>
          <w:shd w:val="clear" w:color="auto" w:fill="FFFFFF"/>
          <w:lang w:val="en-GB"/>
        </w:rPr>
        <w:t xml:space="preserve">The certification mark aims to </w:t>
      </w:r>
      <w:r w:rsidR="004C317A">
        <w:rPr>
          <w:rFonts w:cstheme="minorHAnsi"/>
          <w:color w:val="000000"/>
          <w:shd w:val="clear" w:color="auto" w:fill="FFFFFF"/>
          <w:lang w:val="en-GB"/>
        </w:rPr>
        <w:t xml:space="preserve">guide you through </w:t>
      </w:r>
      <w:r w:rsidR="00470A0C" w:rsidRPr="00470A0C">
        <w:rPr>
          <w:rFonts w:cstheme="minorHAnsi"/>
          <w:color w:val="000000"/>
          <w:shd w:val="clear" w:color="auto" w:fill="FFFFFF"/>
          <w:lang w:val="en-GB"/>
        </w:rPr>
        <w:t xml:space="preserve">the </w:t>
      </w:r>
      <w:r w:rsidR="004C317A">
        <w:rPr>
          <w:rFonts w:cstheme="minorHAnsi"/>
          <w:color w:val="000000"/>
          <w:shd w:val="clear" w:color="auto" w:fill="FFFFFF"/>
          <w:lang w:val="en-GB"/>
        </w:rPr>
        <w:t>offer</w:t>
      </w:r>
      <w:r w:rsidR="00470A0C" w:rsidRPr="00470A0C">
        <w:rPr>
          <w:rFonts w:cstheme="minorHAnsi"/>
          <w:color w:val="000000"/>
          <w:shd w:val="clear" w:color="auto" w:fill="FFFFFF"/>
          <w:lang w:val="en-GB"/>
        </w:rPr>
        <w:t xml:space="preserve"> of circular interior solutions for the hotel industry through an objective certification of interior, furniture and textile products aimed at the hotel sector</w:t>
      </w:r>
      <w:r w:rsidR="009D04C3" w:rsidRPr="00470A0C">
        <w:rPr>
          <w:rFonts w:cstheme="minorHAnsi"/>
          <w:color w:val="000000"/>
          <w:shd w:val="clear" w:color="auto" w:fill="FFFFFF"/>
          <w:lang w:val="en-GB"/>
        </w:rPr>
        <w:t>.</w:t>
      </w:r>
    </w:p>
    <w:p w14:paraId="6C6EE7FA" w14:textId="5C6B4AD3" w:rsidR="00D00BAF" w:rsidRPr="00470A0C" w:rsidRDefault="00D00BAF" w:rsidP="000E1BE7">
      <w:pPr>
        <w:pStyle w:val="ListParagraph"/>
        <w:numPr>
          <w:ilvl w:val="0"/>
          <w:numId w:val="2"/>
        </w:numPr>
        <w:rPr>
          <w:rFonts w:cstheme="minorHAnsi"/>
          <w:lang w:val="en-GB"/>
        </w:rPr>
      </w:pPr>
      <w:r w:rsidRPr="00470A0C">
        <w:rPr>
          <w:rFonts w:cstheme="minorHAnsi"/>
          <w:lang w:val="en-GB"/>
        </w:rPr>
        <w:t>Valumat</w:t>
      </w:r>
      <w:r w:rsidR="009D04C3" w:rsidRPr="00470A0C">
        <w:rPr>
          <w:rFonts w:cstheme="minorHAnsi"/>
          <w:lang w:val="en-GB"/>
        </w:rPr>
        <w:t>:</w:t>
      </w:r>
      <w:r w:rsidR="003D0C26" w:rsidRPr="00470A0C">
        <w:rPr>
          <w:rFonts w:cstheme="minorHAnsi"/>
          <w:lang w:val="en-GB"/>
        </w:rPr>
        <w:t xml:space="preserve"> </w:t>
      </w:r>
      <w:r w:rsidR="00470A0C" w:rsidRPr="00470A0C">
        <w:rPr>
          <w:rFonts w:cstheme="minorHAnsi"/>
          <w:lang w:val="en-GB"/>
        </w:rPr>
        <w:t>Providing guidelines for manufacturing circular mattresses and more</w:t>
      </w:r>
      <w:r w:rsidR="003D0C26" w:rsidRPr="00470A0C">
        <w:rPr>
          <w:rFonts w:cstheme="minorHAnsi"/>
          <w:lang w:val="en-GB"/>
        </w:rPr>
        <w:t>.</w:t>
      </w:r>
    </w:p>
    <w:p w14:paraId="52946355" w14:textId="6CBFB8A2" w:rsidR="00D00BAF" w:rsidRPr="006269C5" w:rsidRDefault="00D00BAF" w:rsidP="006269C5">
      <w:pPr>
        <w:pStyle w:val="ListParagraph"/>
        <w:numPr>
          <w:ilvl w:val="0"/>
          <w:numId w:val="2"/>
        </w:numPr>
        <w:rPr>
          <w:rFonts w:cstheme="minorHAnsi"/>
          <w:lang w:val="en-GB"/>
        </w:rPr>
      </w:pPr>
      <w:r w:rsidRPr="00470A0C">
        <w:rPr>
          <w:rFonts w:cstheme="minorHAnsi"/>
          <w:lang w:val="en-GB"/>
        </w:rPr>
        <w:t>PEFC</w:t>
      </w:r>
      <w:r w:rsidR="003D0C26" w:rsidRPr="00470A0C">
        <w:rPr>
          <w:rFonts w:cstheme="minorHAnsi"/>
          <w:lang w:val="en-GB"/>
        </w:rPr>
        <w:t xml:space="preserve">: </w:t>
      </w:r>
      <w:r w:rsidR="00470A0C" w:rsidRPr="00470A0C">
        <w:rPr>
          <w:rFonts w:cstheme="minorHAnsi"/>
          <w:lang w:val="en-GB"/>
        </w:rPr>
        <w:t>PEFC developed an online CO2 calculator to calculate carbon storage in wooden furniture</w:t>
      </w:r>
      <w:r w:rsidR="003D0C26" w:rsidRPr="00470A0C">
        <w:rPr>
          <w:rFonts w:cstheme="minorHAnsi"/>
          <w:lang w:val="en-GB"/>
        </w:rPr>
        <w:t>.</w:t>
      </w:r>
    </w:p>
    <w:p w14:paraId="2B887DDC" w14:textId="02FFB207" w:rsidR="000E1BE7" w:rsidRDefault="00D00BAF" w:rsidP="00E4208A">
      <w:pPr>
        <w:pStyle w:val="ListParagraph"/>
        <w:numPr>
          <w:ilvl w:val="0"/>
          <w:numId w:val="2"/>
        </w:numPr>
        <w:rPr>
          <w:rFonts w:cstheme="minorHAnsi"/>
          <w:lang w:val="en-GB"/>
        </w:rPr>
      </w:pPr>
      <w:r w:rsidRPr="00470A0C">
        <w:rPr>
          <w:rFonts w:cstheme="minorHAnsi"/>
          <w:lang w:val="en-GB"/>
        </w:rPr>
        <w:t xml:space="preserve">Wood.be: </w:t>
      </w:r>
      <w:r w:rsidR="00470A0C" w:rsidRPr="00470A0C">
        <w:rPr>
          <w:rFonts w:cstheme="minorHAnsi"/>
          <w:lang w:val="en-GB"/>
        </w:rPr>
        <w:t>Supporting companies in the transition to circularity</w:t>
      </w:r>
      <w:r w:rsidR="003D1838" w:rsidRPr="00470A0C">
        <w:rPr>
          <w:rFonts w:cstheme="minorHAnsi"/>
          <w:lang w:val="en-GB"/>
        </w:rPr>
        <w:t>.</w:t>
      </w:r>
    </w:p>
    <w:p w14:paraId="35B12BC4" w14:textId="69585139" w:rsidR="006269C5" w:rsidRPr="00470A0C" w:rsidRDefault="006269C5" w:rsidP="00E4208A">
      <w:pPr>
        <w:pStyle w:val="ListParagraph"/>
        <w:numPr>
          <w:ilvl w:val="0"/>
          <w:numId w:val="2"/>
        </w:numPr>
        <w:rPr>
          <w:rFonts w:cstheme="minorHAnsi"/>
          <w:lang w:val="en-GB"/>
        </w:rPr>
      </w:pPr>
      <w:r w:rsidRPr="00470A0C">
        <w:rPr>
          <w:rFonts w:cstheme="minorHAnsi"/>
          <w:lang w:val="en-GB"/>
        </w:rPr>
        <w:t>WATF</w:t>
      </w:r>
      <w:r>
        <w:rPr>
          <w:rFonts w:cstheme="minorHAnsi"/>
          <w:lang w:val="en-GB"/>
        </w:rPr>
        <w:t>, Stand 4-110: Short presentation Trendwolves</w:t>
      </w:r>
      <w:r w:rsidRPr="006269C5">
        <w:rPr>
          <w:rFonts w:cstheme="minorHAnsi"/>
          <w:lang w:val="en-GB"/>
        </w:rPr>
        <w:t>.</w:t>
      </w:r>
    </w:p>
    <w:p w14:paraId="7B389F18" w14:textId="534BA4D9" w:rsidR="004E3E78" w:rsidRPr="00B33B83" w:rsidRDefault="00B33B83">
      <w:pPr>
        <w:rPr>
          <w:lang w:val="en-GB"/>
        </w:rPr>
      </w:pPr>
      <w:r w:rsidRPr="00B33B83">
        <w:rPr>
          <w:rFonts w:cstheme="minorHAnsi"/>
          <w:lang w:val="en-GB"/>
        </w:rPr>
        <w:t>In addition, the Furniture Fair itself is trying to do its bit by means of, for example, reusable stand building elements and signage, reducing and making more efficient use of paper shipments, reducing on-site printing and, of course, also providing a medium for the aforementioned players from the furniture sector</w:t>
      </w:r>
      <w:r w:rsidR="000251C4" w:rsidRPr="00B33B83">
        <w:rPr>
          <w:lang w:val="en-GB"/>
        </w:rPr>
        <w:t>.</w:t>
      </w:r>
    </w:p>
    <w:p w14:paraId="29483D00" w14:textId="77777777" w:rsidR="000251C4" w:rsidRPr="004701F4" w:rsidRDefault="000251C4">
      <w:pPr>
        <w:rPr>
          <w:b/>
          <w:bCs/>
          <w:sz w:val="8"/>
          <w:szCs w:val="8"/>
          <w:lang w:val="en-GB"/>
        </w:rPr>
      </w:pPr>
    </w:p>
    <w:p w14:paraId="12E3B97D" w14:textId="54D9159C" w:rsidR="00EB4C43" w:rsidRPr="00F82771" w:rsidRDefault="00B33B83">
      <w:pPr>
        <w:rPr>
          <w:b/>
          <w:bCs/>
          <w:lang w:val="en-GB"/>
        </w:rPr>
      </w:pPr>
      <w:r w:rsidRPr="00F82771">
        <w:rPr>
          <w:b/>
          <w:bCs/>
          <w:lang w:val="en-GB"/>
        </w:rPr>
        <w:t>The future of fairs</w:t>
      </w:r>
    </w:p>
    <w:p w14:paraId="0D6C1518" w14:textId="48148F22" w:rsidR="000251C4" w:rsidRPr="00F82771" w:rsidRDefault="00F82771">
      <w:pPr>
        <w:rPr>
          <w:lang w:val="en-GB"/>
        </w:rPr>
      </w:pPr>
      <w:r w:rsidRPr="00F82771">
        <w:rPr>
          <w:lang w:val="en-GB"/>
        </w:rPr>
        <w:t>On top of following trends and evolutions within the furniture and interior design world, the fair as an event organiser must also look at how the event sector itself is evolving. What does that future look like? In recent years, it has become clear that experiences and perception play an increasingly central role at events, whether B2C or B2B</w:t>
      </w:r>
      <w:r w:rsidR="00086CB1" w:rsidRPr="00F82771">
        <w:rPr>
          <w:lang w:val="en-GB"/>
        </w:rPr>
        <w:t>.</w:t>
      </w:r>
    </w:p>
    <w:p w14:paraId="5E026C7C" w14:textId="08B70B7E" w:rsidR="007E1EC7" w:rsidRPr="00F9601C" w:rsidRDefault="00F9601C">
      <w:pPr>
        <w:rPr>
          <w:lang w:val="en-GB"/>
        </w:rPr>
      </w:pPr>
      <w:r w:rsidRPr="00F9601C">
        <w:rPr>
          <w:lang w:val="en-GB"/>
        </w:rPr>
        <w:t xml:space="preserve">That is why the Furniture Fair has focused even more than usual on dressing up the halls beautifully and </w:t>
      </w:r>
      <w:r w:rsidR="00B24A41">
        <w:rPr>
          <w:lang w:val="en-GB"/>
        </w:rPr>
        <w:t>creating</w:t>
      </w:r>
      <w:r w:rsidRPr="00F9601C">
        <w:rPr>
          <w:lang w:val="en-GB"/>
        </w:rPr>
        <w:t xml:space="preserve"> discoveries. But not at the expense of the core business of good business. To safeguard this, resources were sought in new places. For example, through collaborations with exhibitors from the shop of tomorrow or by creating new advertising opportunities. Within this framework, the 'press reading corner' was also decorated in collaboration with the exhibitor Rom, and the champagne bar just next door in collaboration with Drappier</w:t>
      </w:r>
      <w:r w:rsidR="00F041A4" w:rsidRPr="00F9601C">
        <w:rPr>
          <w:lang w:val="en-GB"/>
        </w:rPr>
        <w:t>.</w:t>
      </w:r>
    </w:p>
    <w:p w14:paraId="7F510165" w14:textId="62AF5702" w:rsidR="00D74336" w:rsidRPr="00F9601C" w:rsidRDefault="00F9601C" w:rsidP="00B73AA3">
      <w:pPr>
        <w:rPr>
          <w:lang w:val="en-GB"/>
        </w:rPr>
      </w:pPr>
      <w:r w:rsidRPr="00F9601C">
        <w:rPr>
          <w:lang w:val="en-GB"/>
        </w:rPr>
        <w:t xml:space="preserve">When looking at the future of the Furniture Fair as an event, the focus is also on how information is shared on site. Here, it is important to find a good mix between digital and physical. </w:t>
      </w:r>
      <w:r w:rsidR="00B24A41">
        <w:rPr>
          <w:lang w:val="en-GB"/>
        </w:rPr>
        <w:t>T</w:t>
      </w:r>
      <w:r w:rsidRPr="00F9601C">
        <w:rPr>
          <w:lang w:val="en-GB"/>
        </w:rPr>
        <w:t>he right means, for the right content, depending on the moment of distribution. That the BE magazine, for example, was exchanged for a blog with newsletter, while a physical newspaper is distributed on the trade fair floor, is therefore no coincidence, but a well-considered choice</w:t>
      </w:r>
      <w:r w:rsidR="00725053" w:rsidRPr="00F9601C">
        <w:rPr>
          <w:lang w:val="en-GB"/>
        </w:rPr>
        <w:t>.</w:t>
      </w:r>
    </w:p>
    <w:p w14:paraId="01D582C5" w14:textId="77777777" w:rsidR="00B73AA3" w:rsidRPr="004701F4" w:rsidRDefault="00B73AA3" w:rsidP="00B73AA3">
      <w:pPr>
        <w:rPr>
          <w:sz w:val="6"/>
          <w:szCs w:val="6"/>
          <w:lang w:val="en-GB"/>
        </w:rPr>
      </w:pPr>
    </w:p>
    <w:p w14:paraId="4CA0A85F" w14:textId="63D70877" w:rsidR="00B73AA3" w:rsidRPr="00F9601C" w:rsidRDefault="00F9601C" w:rsidP="00B73AA3">
      <w:pPr>
        <w:rPr>
          <w:b/>
          <w:bCs/>
          <w:lang w:val="en-GB"/>
        </w:rPr>
      </w:pPr>
      <w:r w:rsidRPr="00F9601C">
        <w:rPr>
          <w:b/>
          <w:bCs/>
          <w:lang w:val="en-GB"/>
        </w:rPr>
        <w:t>Brussels Furniture Fair 2023 in figures</w:t>
      </w:r>
    </w:p>
    <w:p w14:paraId="15DF83DD" w14:textId="039AFF49" w:rsidR="002D4DA4" w:rsidRDefault="00F9601C" w:rsidP="00B73AA3">
      <w:pPr>
        <w:rPr>
          <w:lang w:val="en-GB"/>
        </w:rPr>
      </w:pPr>
      <w:r w:rsidRPr="00F9601C">
        <w:rPr>
          <w:lang w:val="en-GB"/>
        </w:rPr>
        <w:t xml:space="preserve">The 2023 Furniture Fair is marked, among other things, by some shifts of loyal exhibitors. Calia Italia found a new location in hall 4, as did Passe Partout and Recor Group. This </w:t>
      </w:r>
      <w:r w:rsidR="009C7492">
        <w:rPr>
          <w:lang w:val="en-GB"/>
        </w:rPr>
        <w:t xml:space="preserve">opened up opportunities </w:t>
      </w:r>
      <w:r w:rsidRPr="00F9601C">
        <w:rPr>
          <w:lang w:val="en-GB"/>
        </w:rPr>
        <w:t xml:space="preserve">in halls 5 and 3, where several new names </w:t>
      </w:r>
      <w:r w:rsidR="009C7492">
        <w:rPr>
          <w:lang w:val="en-GB"/>
        </w:rPr>
        <w:t>appeared</w:t>
      </w:r>
      <w:r w:rsidRPr="00F9601C">
        <w:rPr>
          <w:lang w:val="en-GB"/>
        </w:rPr>
        <w:t xml:space="preserve">. With Yac, Saunaco, WR Inspired, Poleposition, Aquinos, Beka and Girardeau, Hall 5 has the largest number of changes in more than 20 years. We </w:t>
      </w:r>
      <w:r w:rsidRPr="00F9601C">
        <w:rPr>
          <w:lang w:val="en-GB"/>
        </w:rPr>
        <w:lastRenderedPageBreak/>
        <w:t>hope this will also create a new dynamic among visitors. Hall 3 also moved a lot, with a number of new exhibitors</w:t>
      </w:r>
      <w:r w:rsidR="00C01F53" w:rsidRPr="00F9601C">
        <w:rPr>
          <w:lang w:val="en-GB"/>
        </w:rPr>
        <w:t>.</w:t>
      </w:r>
    </w:p>
    <w:p w14:paraId="0B45C5C6" w14:textId="77777777" w:rsidR="004701F4" w:rsidRPr="00F9601C" w:rsidRDefault="004701F4" w:rsidP="00B73AA3">
      <w:pPr>
        <w:rPr>
          <w:lang w:val="en-GB"/>
        </w:rPr>
      </w:pPr>
    </w:p>
    <w:tbl>
      <w:tblPr>
        <w:tblW w:w="8156" w:type="dxa"/>
        <w:tblCellMar>
          <w:left w:w="70" w:type="dxa"/>
          <w:right w:w="70" w:type="dxa"/>
        </w:tblCellMar>
        <w:tblLook w:val="04A0" w:firstRow="1" w:lastRow="0" w:firstColumn="1" w:lastColumn="0" w:noHBand="0" w:noVBand="1"/>
      </w:tblPr>
      <w:tblGrid>
        <w:gridCol w:w="2630"/>
        <w:gridCol w:w="1371"/>
        <w:gridCol w:w="146"/>
        <w:gridCol w:w="146"/>
        <w:gridCol w:w="2630"/>
        <w:gridCol w:w="1371"/>
        <w:gridCol w:w="146"/>
      </w:tblGrid>
      <w:tr w:rsidR="00410B88" w:rsidRPr="00410B88" w14:paraId="283534A3" w14:textId="77777777" w:rsidTr="001D01B4">
        <w:trPr>
          <w:gridAfter w:val="1"/>
          <w:wAfter w:w="36" w:type="dxa"/>
          <w:trHeight w:val="537"/>
        </w:trPr>
        <w:tc>
          <w:tcPr>
            <w:tcW w:w="812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69F4C0D" w14:textId="1C1CFC47" w:rsidR="00410B88" w:rsidRPr="00410B88" w:rsidRDefault="00621410" w:rsidP="00410B88">
            <w:pPr>
              <w:spacing w:after="0" w:line="240" w:lineRule="auto"/>
              <w:jc w:val="center"/>
              <w:rPr>
                <w:rFonts w:ascii="Calibri" w:eastAsia="Times New Roman" w:hAnsi="Calibri" w:cs="Calibri"/>
                <w:color w:val="000000"/>
                <w:sz w:val="44"/>
                <w:szCs w:val="44"/>
                <w:lang w:eastAsia="fr-BE"/>
              </w:rPr>
            </w:pPr>
            <w:r>
              <w:rPr>
                <w:rFonts w:ascii="Calibri" w:eastAsia="Times New Roman" w:hAnsi="Calibri" w:cs="Calibri"/>
                <w:color w:val="000000"/>
                <w:sz w:val="32"/>
                <w:szCs w:val="32"/>
                <w:lang w:eastAsia="fr-BE"/>
              </w:rPr>
              <w:t>Exhibitors</w:t>
            </w:r>
            <w:r w:rsidR="00410B88" w:rsidRPr="003A0AEE">
              <w:rPr>
                <w:rFonts w:ascii="Calibri" w:eastAsia="Times New Roman" w:hAnsi="Calibri" w:cs="Calibri"/>
                <w:color w:val="000000"/>
                <w:sz w:val="32"/>
                <w:szCs w:val="32"/>
                <w:lang w:eastAsia="fr-BE"/>
              </w:rPr>
              <w:t xml:space="preserve"> </w:t>
            </w:r>
            <w:r w:rsidR="00410B88" w:rsidRPr="00410B88">
              <w:rPr>
                <w:rFonts w:ascii="Calibri" w:eastAsia="Times New Roman" w:hAnsi="Calibri" w:cs="Calibri"/>
                <w:color w:val="000000"/>
                <w:sz w:val="32"/>
                <w:szCs w:val="32"/>
                <w:lang w:eastAsia="fr-BE"/>
              </w:rPr>
              <w:t>2023</w:t>
            </w:r>
            <w:r w:rsidR="00B96F9C">
              <w:rPr>
                <w:rFonts w:ascii="Calibri" w:eastAsia="Times New Roman" w:hAnsi="Calibri" w:cs="Calibri"/>
                <w:color w:val="000000"/>
                <w:sz w:val="32"/>
                <w:szCs w:val="32"/>
                <w:lang w:eastAsia="fr-BE"/>
              </w:rPr>
              <w:t xml:space="preserve"> - Nationalit</w:t>
            </w:r>
            <w:r>
              <w:rPr>
                <w:rFonts w:ascii="Calibri" w:eastAsia="Times New Roman" w:hAnsi="Calibri" w:cs="Calibri"/>
                <w:color w:val="000000"/>
                <w:sz w:val="32"/>
                <w:szCs w:val="32"/>
                <w:lang w:eastAsia="fr-BE"/>
              </w:rPr>
              <w:t>y</w:t>
            </w:r>
          </w:p>
        </w:tc>
      </w:tr>
      <w:tr w:rsidR="00410B88" w:rsidRPr="00410B88" w14:paraId="5A03A9E5" w14:textId="77777777" w:rsidTr="001D01B4">
        <w:trPr>
          <w:trHeight w:val="227"/>
        </w:trPr>
        <w:tc>
          <w:tcPr>
            <w:tcW w:w="8120" w:type="dxa"/>
            <w:gridSpan w:val="6"/>
            <w:vMerge/>
            <w:tcBorders>
              <w:top w:val="single" w:sz="8" w:space="0" w:color="auto"/>
              <w:left w:val="single" w:sz="8" w:space="0" w:color="auto"/>
              <w:bottom w:val="single" w:sz="8" w:space="0" w:color="000000"/>
              <w:right w:val="single" w:sz="8" w:space="0" w:color="000000"/>
            </w:tcBorders>
            <w:vAlign w:val="center"/>
            <w:hideMark/>
          </w:tcPr>
          <w:p w14:paraId="1C31279C" w14:textId="77777777" w:rsidR="00410B88" w:rsidRPr="00410B88" w:rsidRDefault="00410B88" w:rsidP="00410B88">
            <w:pPr>
              <w:spacing w:after="0" w:line="240" w:lineRule="auto"/>
              <w:rPr>
                <w:rFonts w:ascii="Calibri" w:eastAsia="Times New Roman" w:hAnsi="Calibri" w:cs="Calibri"/>
                <w:color w:val="000000"/>
                <w:sz w:val="44"/>
                <w:szCs w:val="44"/>
                <w:lang w:eastAsia="fr-BE"/>
              </w:rPr>
            </w:pPr>
          </w:p>
        </w:tc>
        <w:tc>
          <w:tcPr>
            <w:tcW w:w="36" w:type="dxa"/>
            <w:tcBorders>
              <w:top w:val="nil"/>
              <w:left w:val="nil"/>
              <w:bottom w:val="nil"/>
              <w:right w:val="nil"/>
            </w:tcBorders>
            <w:shd w:val="clear" w:color="auto" w:fill="auto"/>
            <w:noWrap/>
            <w:vAlign w:val="bottom"/>
            <w:hideMark/>
          </w:tcPr>
          <w:p w14:paraId="24C94FB5" w14:textId="77777777" w:rsidR="00410B88" w:rsidRPr="00410B88" w:rsidRDefault="00410B88" w:rsidP="00410B88">
            <w:pPr>
              <w:spacing w:after="0" w:line="240" w:lineRule="auto"/>
              <w:jc w:val="center"/>
              <w:rPr>
                <w:rFonts w:ascii="Calibri" w:eastAsia="Times New Roman" w:hAnsi="Calibri" w:cs="Calibri"/>
                <w:color w:val="000000"/>
                <w:sz w:val="44"/>
                <w:szCs w:val="44"/>
                <w:lang w:eastAsia="fr-BE"/>
              </w:rPr>
            </w:pPr>
          </w:p>
        </w:tc>
      </w:tr>
      <w:tr w:rsidR="00410B88" w:rsidRPr="00410B88" w14:paraId="1FC23F4C" w14:textId="77777777" w:rsidTr="001D01B4">
        <w:trPr>
          <w:trHeight w:val="227"/>
        </w:trPr>
        <w:tc>
          <w:tcPr>
            <w:tcW w:w="2630" w:type="dxa"/>
            <w:tcBorders>
              <w:top w:val="nil"/>
              <w:left w:val="single" w:sz="8" w:space="0" w:color="auto"/>
              <w:bottom w:val="single" w:sz="8" w:space="0" w:color="auto"/>
              <w:right w:val="nil"/>
            </w:tcBorders>
            <w:shd w:val="clear" w:color="auto" w:fill="auto"/>
            <w:noWrap/>
            <w:vAlign w:val="bottom"/>
            <w:hideMark/>
          </w:tcPr>
          <w:p w14:paraId="5999998C" w14:textId="77777777" w:rsidR="00410B88" w:rsidRPr="00410B88" w:rsidRDefault="00410B88" w:rsidP="00410B88">
            <w:pPr>
              <w:spacing w:after="0" w:line="240" w:lineRule="auto"/>
              <w:rPr>
                <w:rFonts w:ascii="Calibri" w:eastAsia="Times New Roman" w:hAnsi="Calibri" w:cs="Calibri"/>
                <w:b/>
                <w:bCs/>
                <w:color w:val="000000"/>
                <w:lang w:eastAsia="fr-BE"/>
              </w:rPr>
            </w:pPr>
            <w:r w:rsidRPr="00410B88">
              <w:rPr>
                <w:rFonts w:ascii="Calibri" w:eastAsia="Times New Roman" w:hAnsi="Calibri" w:cs="Calibri"/>
                <w:b/>
                <w:bCs/>
                <w:color w:val="000000"/>
                <w:lang w:eastAsia="fr-BE"/>
              </w:rPr>
              <w:t>Country of Origin</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74A46427" w14:textId="77777777" w:rsidR="00410B88" w:rsidRPr="00410B88" w:rsidRDefault="00410B88" w:rsidP="00410B88">
            <w:pPr>
              <w:spacing w:after="0" w:line="240" w:lineRule="auto"/>
              <w:rPr>
                <w:rFonts w:ascii="Calibri" w:eastAsia="Times New Roman" w:hAnsi="Calibri" w:cs="Calibri"/>
                <w:b/>
                <w:bCs/>
                <w:color w:val="000000"/>
                <w:lang w:eastAsia="fr-BE"/>
              </w:rPr>
            </w:pPr>
            <w:r w:rsidRPr="00410B88">
              <w:rPr>
                <w:rFonts w:ascii="Calibri" w:eastAsia="Times New Roman" w:hAnsi="Calibri" w:cs="Calibri"/>
                <w:b/>
                <w:bCs/>
                <w:color w:val="000000"/>
                <w:lang w:eastAsia="fr-BE"/>
              </w:rPr>
              <w:t>Quantity</w:t>
            </w:r>
          </w:p>
        </w:tc>
        <w:tc>
          <w:tcPr>
            <w:tcW w:w="59" w:type="dxa"/>
            <w:tcBorders>
              <w:top w:val="nil"/>
              <w:left w:val="nil"/>
              <w:bottom w:val="nil"/>
              <w:right w:val="nil"/>
            </w:tcBorders>
            <w:shd w:val="clear" w:color="auto" w:fill="auto"/>
            <w:noWrap/>
            <w:vAlign w:val="bottom"/>
            <w:hideMark/>
          </w:tcPr>
          <w:p w14:paraId="61A31344" w14:textId="77777777" w:rsidR="00410B88" w:rsidRPr="00410B88" w:rsidRDefault="00410B88" w:rsidP="00410B88">
            <w:pPr>
              <w:spacing w:after="0" w:line="240" w:lineRule="auto"/>
              <w:rPr>
                <w:rFonts w:ascii="Calibri" w:eastAsia="Times New Roman" w:hAnsi="Calibri" w:cs="Calibri"/>
                <w:b/>
                <w:bCs/>
                <w:color w:val="000000"/>
                <w:lang w:eastAsia="fr-BE"/>
              </w:rPr>
            </w:pPr>
          </w:p>
        </w:tc>
        <w:tc>
          <w:tcPr>
            <w:tcW w:w="59" w:type="dxa"/>
            <w:tcBorders>
              <w:top w:val="nil"/>
              <w:left w:val="nil"/>
              <w:bottom w:val="nil"/>
              <w:right w:val="nil"/>
            </w:tcBorders>
            <w:shd w:val="clear" w:color="auto" w:fill="auto"/>
            <w:noWrap/>
            <w:vAlign w:val="bottom"/>
            <w:hideMark/>
          </w:tcPr>
          <w:p w14:paraId="48271582"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8" w:space="0" w:color="auto"/>
              <w:right w:val="nil"/>
            </w:tcBorders>
            <w:shd w:val="clear" w:color="auto" w:fill="auto"/>
            <w:noWrap/>
            <w:vAlign w:val="bottom"/>
            <w:hideMark/>
          </w:tcPr>
          <w:p w14:paraId="1E70F518" w14:textId="77777777" w:rsidR="00410B88" w:rsidRPr="00410B88" w:rsidRDefault="00410B88" w:rsidP="00410B88">
            <w:pPr>
              <w:spacing w:after="0" w:line="240" w:lineRule="auto"/>
              <w:rPr>
                <w:rFonts w:ascii="Calibri" w:eastAsia="Times New Roman" w:hAnsi="Calibri" w:cs="Calibri"/>
                <w:b/>
                <w:bCs/>
                <w:color w:val="000000"/>
                <w:lang w:eastAsia="fr-BE"/>
              </w:rPr>
            </w:pPr>
            <w:r w:rsidRPr="00410B88">
              <w:rPr>
                <w:rFonts w:ascii="Calibri" w:eastAsia="Times New Roman" w:hAnsi="Calibri" w:cs="Calibri"/>
                <w:b/>
                <w:bCs/>
                <w:color w:val="000000"/>
                <w:lang w:eastAsia="fr-BE"/>
              </w:rPr>
              <w:t>Country of Origin</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6E775D87" w14:textId="77777777" w:rsidR="00410B88" w:rsidRPr="00410B88" w:rsidRDefault="00410B88" w:rsidP="00410B88">
            <w:pPr>
              <w:spacing w:after="0" w:line="240" w:lineRule="auto"/>
              <w:rPr>
                <w:rFonts w:ascii="Calibri" w:eastAsia="Times New Roman" w:hAnsi="Calibri" w:cs="Calibri"/>
                <w:b/>
                <w:bCs/>
                <w:color w:val="000000"/>
                <w:lang w:eastAsia="fr-BE"/>
              </w:rPr>
            </w:pPr>
            <w:r w:rsidRPr="00410B88">
              <w:rPr>
                <w:rFonts w:ascii="Calibri" w:eastAsia="Times New Roman" w:hAnsi="Calibri" w:cs="Calibri"/>
                <w:b/>
                <w:bCs/>
                <w:color w:val="000000"/>
                <w:lang w:eastAsia="fr-BE"/>
              </w:rPr>
              <w:t>Quantity</w:t>
            </w:r>
          </w:p>
        </w:tc>
        <w:tc>
          <w:tcPr>
            <w:tcW w:w="36" w:type="dxa"/>
            <w:vAlign w:val="center"/>
            <w:hideMark/>
          </w:tcPr>
          <w:p w14:paraId="744BECA4"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41B708D4"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7A0319DA" w14:textId="77777777" w:rsidR="00410B88" w:rsidRPr="00410B88" w:rsidRDefault="00410B88" w:rsidP="00410B88">
            <w:pPr>
              <w:spacing w:after="0" w:line="240" w:lineRule="auto"/>
              <w:rPr>
                <w:rFonts w:ascii="Calibri" w:eastAsia="Times New Roman" w:hAnsi="Calibri" w:cs="Calibri"/>
                <w:color w:val="000000"/>
                <w:lang w:eastAsia="fr-BE"/>
              </w:rPr>
            </w:pPr>
            <w:r w:rsidRPr="006F63AC">
              <w:rPr>
                <w:rFonts w:ascii="Calibri" w:eastAsia="Times New Roman" w:hAnsi="Calibri" w:cs="Calibri"/>
                <w:color w:val="000000"/>
                <w:highlight w:val="yellow"/>
                <w:lang w:eastAsia="fr-BE"/>
              </w:rPr>
              <w:t>Belgium</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6403B8D4"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79</w:t>
            </w:r>
          </w:p>
        </w:tc>
        <w:tc>
          <w:tcPr>
            <w:tcW w:w="59" w:type="dxa"/>
            <w:tcBorders>
              <w:top w:val="nil"/>
              <w:left w:val="nil"/>
              <w:bottom w:val="nil"/>
              <w:right w:val="nil"/>
            </w:tcBorders>
            <w:shd w:val="clear" w:color="auto" w:fill="auto"/>
            <w:noWrap/>
            <w:vAlign w:val="bottom"/>
            <w:hideMark/>
          </w:tcPr>
          <w:p w14:paraId="7DD687EF"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2A29E3BF"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2412DD0C"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Belgium</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02B6D3DB"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79</w:t>
            </w:r>
          </w:p>
        </w:tc>
        <w:tc>
          <w:tcPr>
            <w:tcW w:w="36" w:type="dxa"/>
            <w:vAlign w:val="center"/>
            <w:hideMark/>
          </w:tcPr>
          <w:p w14:paraId="3AEA1867"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16241BB1"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25DA7C97"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China</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9EA82F3"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2</w:t>
            </w:r>
          </w:p>
        </w:tc>
        <w:tc>
          <w:tcPr>
            <w:tcW w:w="59" w:type="dxa"/>
            <w:tcBorders>
              <w:top w:val="nil"/>
              <w:left w:val="nil"/>
              <w:bottom w:val="nil"/>
              <w:right w:val="nil"/>
            </w:tcBorders>
            <w:shd w:val="clear" w:color="auto" w:fill="auto"/>
            <w:noWrap/>
            <w:vAlign w:val="bottom"/>
            <w:hideMark/>
          </w:tcPr>
          <w:p w14:paraId="44AE72CD"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73770A18"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38CB42F0"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Netherlands</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68D3D3B7"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75</w:t>
            </w:r>
          </w:p>
        </w:tc>
        <w:tc>
          <w:tcPr>
            <w:tcW w:w="36" w:type="dxa"/>
            <w:vAlign w:val="center"/>
            <w:hideMark/>
          </w:tcPr>
          <w:p w14:paraId="216E0E37"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2F2B87F1"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02470243"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Craotia</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792E7737"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59" w:type="dxa"/>
            <w:tcBorders>
              <w:top w:val="nil"/>
              <w:left w:val="nil"/>
              <w:bottom w:val="nil"/>
              <w:right w:val="nil"/>
            </w:tcBorders>
            <w:shd w:val="clear" w:color="auto" w:fill="auto"/>
            <w:noWrap/>
            <w:vAlign w:val="bottom"/>
            <w:hideMark/>
          </w:tcPr>
          <w:p w14:paraId="06A05FA3"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5181B4EC"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7806B139"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Germany</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33C9E2B3"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17</w:t>
            </w:r>
          </w:p>
        </w:tc>
        <w:tc>
          <w:tcPr>
            <w:tcW w:w="36" w:type="dxa"/>
            <w:vAlign w:val="center"/>
            <w:hideMark/>
          </w:tcPr>
          <w:p w14:paraId="630AC4C4"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2474E1C4"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340B023E"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Denmark</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2561C843"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5</w:t>
            </w:r>
          </w:p>
        </w:tc>
        <w:tc>
          <w:tcPr>
            <w:tcW w:w="59" w:type="dxa"/>
            <w:tcBorders>
              <w:top w:val="nil"/>
              <w:left w:val="nil"/>
              <w:bottom w:val="nil"/>
              <w:right w:val="nil"/>
            </w:tcBorders>
            <w:shd w:val="clear" w:color="auto" w:fill="auto"/>
            <w:noWrap/>
            <w:vAlign w:val="bottom"/>
            <w:hideMark/>
          </w:tcPr>
          <w:p w14:paraId="334C6D9C"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1615C727"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5C85CF99"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Italy</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47A15C6"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12</w:t>
            </w:r>
          </w:p>
        </w:tc>
        <w:tc>
          <w:tcPr>
            <w:tcW w:w="36" w:type="dxa"/>
            <w:vAlign w:val="center"/>
            <w:hideMark/>
          </w:tcPr>
          <w:p w14:paraId="2AA203B4"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48399AA0"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3305D9B8"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France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027E468F"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6</w:t>
            </w:r>
          </w:p>
        </w:tc>
        <w:tc>
          <w:tcPr>
            <w:tcW w:w="59" w:type="dxa"/>
            <w:tcBorders>
              <w:top w:val="nil"/>
              <w:left w:val="nil"/>
              <w:bottom w:val="nil"/>
              <w:right w:val="nil"/>
            </w:tcBorders>
            <w:shd w:val="clear" w:color="auto" w:fill="auto"/>
            <w:noWrap/>
            <w:vAlign w:val="bottom"/>
            <w:hideMark/>
          </w:tcPr>
          <w:p w14:paraId="41657FD7"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6DE6352B"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3392B034"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Poland</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D7E7EDA"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8</w:t>
            </w:r>
          </w:p>
        </w:tc>
        <w:tc>
          <w:tcPr>
            <w:tcW w:w="36" w:type="dxa"/>
            <w:vAlign w:val="center"/>
            <w:hideMark/>
          </w:tcPr>
          <w:p w14:paraId="18D5415F"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623246BE"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64EDC00B"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Germany</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0FED509F"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17</w:t>
            </w:r>
          </w:p>
        </w:tc>
        <w:tc>
          <w:tcPr>
            <w:tcW w:w="59" w:type="dxa"/>
            <w:tcBorders>
              <w:top w:val="nil"/>
              <w:left w:val="nil"/>
              <w:bottom w:val="nil"/>
              <w:right w:val="nil"/>
            </w:tcBorders>
            <w:shd w:val="clear" w:color="auto" w:fill="auto"/>
            <w:noWrap/>
            <w:vAlign w:val="bottom"/>
            <w:hideMark/>
          </w:tcPr>
          <w:p w14:paraId="1E3AA973"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4B835168"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07D6D834"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France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830F910"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6</w:t>
            </w:r>
          </w:p>
        </w:tc>
        <w:tc>
          <w:tcPr>
            <w:tcW w:w="36" w:type="dxa"/>
            <w:vAlign w:val="center"/>
            <w:hideMark/>
          </w:tcPr>
          <w:p w14:paraId="69CFC12A"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02E865D2"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3DD0C2BC"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Italy</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0CCB8CBA"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12</w:t>
            </w:r>
          </w:p>
        </w:tc>
        <w:tc>
          <w:tcPr>
            <w:tcW w:w="59" w:type="dxa"/>
            <w:tcBorders>
              <w:top w:val="nil"/>
              <w:left w:val="nil"/>
              <w:bottom w:val="nil"/>
              <w:right w:val="nil"/>
            </w:tcBorders>
            <w:shd w:val="clear" w:color="auto" w:fill="auto"/>
            <w:noWrap/>
            <w:vAlign w:val="bottom"/>
            <w:hideMark/>
          </w:tcPr>
          <w:p w14:paraId="77E27AA8"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46887CFC"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7D2FB66C"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Lituania</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2A763623"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6</w:t>
            </w:r>
          </w:p>
        </w:tc>
        <w:tc>
          <w:tcPr>
            <w:tcW w:w="36" w:type="dxa"/>
            <w:vAlign w:val="center"/>
            <w:hideMark/>
          </w:tcPr>
          <w:p w14:paraId="14079B95"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506B7924"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2896CFBB"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Latvia</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3CABF361"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59" w:type="dxa"/>
            <w:tcBorders>
              <w:top w:val="nil"/>
              <w:left w:val="nil"/>
              <w:bottom w:val="nil"/>
              <w:right w:val="nil"/>
            </w:tcBorders>
            <w:shd w:val="clear" w:color="auto" w:fill="auto"/>
            <w:noWrap/>
            <w:vAlign w:val="bottom"/>
            <w:hideMark/>
          </w:tcPr>
          <w:p w14:paraId="2BA4B4CB"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68B8A071"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0DF000F2"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Denmark</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B60FAFC"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5</w:t>
            </w:r>
          </w:p>
        </w:tc>
        <w:tc>
          <w:tcPr>
            <w:tcW w:w="36" w:type="dxa"/>
            <w:vAlign w:val="center"/>
            <w:hideMark/>
          </w:tcPr>
          <w:p w14:paraId="628982CA"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0E89AF5A"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46133A49"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Lituania</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6AAFE50C"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6</w:t>
            </w:r>
          </w:p>
        </w:tc>
        <w:tc>
          <w:tcPr>
            <w:tcW w:w="59" w:type="dxa"/>
            <w:tcBorders>
              <w:top w:val="nil"/>
              <w:left w:val="nil"/>
              <w:bottom w:val="nil"/>
              <w:right w:val="nil"/>
            </w:tcBorders>
            <w:shd w:val="clear" w:color="auto" w:fill="auto"/>
            <w:noWrap/>
            <w:vAlign w:val="bottom"/>
            <w:hideMark/>
          </w:tcPr>
          <w:p w14:paraId="78F2F817"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1C24786D"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3E2CC0FE"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Turkey</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5F4B07B"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5</w:t>
            </w:r>
          </w:p>
        </w:tc>
        <w:tc>
          <w:tcPr>
            <w:tcW w:w="36" w:type="dxa"/>
            <w:vAlign w:val="center"/>
            <w:hideMark/>
          </w:tcPr>
          <w:p w14:paraId="27234137"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225BFCA0"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5318D767"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Mauritius</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7B0C5DBC"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59" w:type="dxa"/>
            <w:tcBorders>
              <w:top w:val="nil"/>
              <w:left w:val="nil"/>
              <w:bottom w:val="nil"/>
              <w:right w:val="nil"/>
            </w:tcBorders>
            <w:shd w:val="clear" w:color="auto" w:fill="auto"/>
            <w:noWrap/>
            <w:vAlign w:val="bottom"/>
            <w:hideMark/>
          </w:tcPr>
          <w:p w14:paraId="2474F4E7"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35E40248"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07385F1F"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Sweden</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8A5EF5F"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4</w:t>
            </w:r>
          </w:p>
        </w:tc>
        <w:tc>
          <w:tcPr>
            <w:tcW w:w="36" w:type="dxa"/>
            <w:vAlign w:val="center"/>
            <w:hideMark/>
          </w:tcPr>
          <w:p w14:paraId="30DCD173"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1D503A2C"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3DF7436B"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Netherlands</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1E229AD"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75</w:t>
            </w:r>
          </w:p>
        </w:tc>
        <w:tc>
          <w:tcPr>
            <w:tcW w:w="59" w:type="dxa"/>
            <w:tcBorders>
              <w:top w:val="nil"/>
              <w:left w:val="nil"/>
              <w:bottom w:val="nil"/>
              <w:right w:val="nil"/>
            </w:tcBorders>
            <w:shd w:val="clear" w:color="auto" w:fill="auto"/>
            <w:noWrap/>
            <w:vAlign w:val="bottom"/>
            <w:hideMark/>
          </w:tcPr>
          <w:p w14:paraId="6C65A876"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12FCB62C"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03E580D7"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China</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68C7D31"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2</w:t>
            </w:r>
          </w:p>
        </w:tc>
        <w:tc>
          <w:tcPr>
            <w:tcW w:w="36" w:type="dxa"/>
            <w:vAlign w:val="center"/>
            <w:hideMark/>
          </w:tcPr>
          <w:p w14:paraId="26AB8669"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45F48E65"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29D45D29"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Norway</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306CA0E"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59" w:type="dxa"/>
            <w:tcBorders>
              <w:top w:val="nil"/>
              <w:left w:val="nil"/>
              <w:bottom w:val="nil"/>
              <w:right w:val="nil"/>
            </w:tcBorders>
            <w:shd w:val="clear" w:color="auto" w:fill="auto"/>
            <w:noWrap/>
            <w:vAlign w:val="bottom"/>
            <w:hideMark/>
          </w:tcPr>
          <w:p w14:paraId="468264F6"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1367FE19"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178BB890"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Singapore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6634179E"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2</w:t>
            </w:r>
          </w:p>
        </w:tc>
        <w:tc>
          <w:tcPr>
            <w:tcW w:w="36" w:type="dxa"/>
            <w:vAlign w:val="center"/>
            <w:hideMark/>
          </w:tcPr>
          <w:p w14:paraId="777B0826"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57442D04"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52078471"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Poland</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0570D565"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8</w:t>
            </w:r>
          </w:p>
        </w:tc>
        <w:tc>
          <w:tcPr>
            <w:tcW w:w="59" w:type="dxa"/>
            <w:tcBorders>
              <w:top w:val="nil"/>
              <w:left w:val="nil"/>
              <w:bottom w:val="nil"/>
              <w:right w:val="nil"/>
            </w:tcBorders>
            <w:shd w:val="clear" w:color="auto" w:fill="auto"/>
            <w:noWrap/>
            <w:vAlign w:val="bottom"/>
            <w:hideMark/>
          </w:tcPr>
          <w:p w14:paraId="54B73E36"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14DA7224"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1B597E5C"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Croatia</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3515A80"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36" w:type="dxa"/>
            <w:vAlign w:val="center"/>
            <w:hideMark/>
          </w:tcPr>
          <w:p w14:paraId="7309BA7C"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1B0317EC"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6D7FE9F6"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Portugal</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F3F77B4"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59" w:type="dxa"/>
            <w:tcBorders>
              <w:top w:val="nil"/>
              <w:left w:val="nil"/>
              <w:bottom w:val="nil"/>
              <w:right w:val="nil"/>
            </w:tcBorders>
            <w:shd w:val="clear" w:color="auto" w:fill="auto"/>
            <w:noWrap/>
            <w:vAlign w:val="bottom"/>
            <w:hideMark/>
          </w:tcPr>
          <w:p w14:paraId="20E01F9D"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5129A11A"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45163ED5"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Latvia</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017549CC"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36" w:type="dxa"/>
            <w:vAlign w:val="center"/>
            <w:hideMark/>
          </w:tcPr>
          <w:p w14:paraId="0B9CD77A"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359ACFE0"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60B98B57"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Singapore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9237F8E"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2</w:t>
            </w:r>
          </w:p>
        </w:tc>
        <w:tc>
          <w:tcPr>
            <w:tcW w:w="59" w:type="dxa"/>
            <w:tcBorders>
              <w:top w:val="nil"/>
              <w:left w:val="nil"/>
              <w:bottom w:val="nil"/>
              <w:right w:val="nil"/>
            </w:tcBorders>
            <w:shd w:val="clear" w:color="auto" w:fill="auto"/>
            <w:noWrap/>
            <w:vAlign w:val="bottom"/>
            <w:hideMark/>
          </w:tcPr>
          <w:p w14:paraId="71E13ECD"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693344F7"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6EE9B9BA"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Mauritius</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7871A65"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36" w:type="dxa"/>
            <w:vAlign w:val="center"/>
            <w:hideMark/>
          </w:tcPr>
          <w:p w14:paraId="350C580E"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23B78B84"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0F25A676"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Spain</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326FA76D"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59" w:type="dxa"/>
            <w:tcBorders>
              <w:top w:val="nil"/>
              <w:left w:val="nil"/>
              <w:bottom w:val="nil"/>
              <w:right w:val="nil"/>
            </w:tcBorders>
            <w:shd w:val="clear" w:color="auto" w:fill="auto"/>
            <w:noWrap/>
            <w:vAlign w:val="bottom"/>
            <w:hideMark/>
          </w:tcPr>
          <w:p w14:paraId="0076E109"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6BA3C0FA"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042F2532"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Norway</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FB29D3F"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36" w:type="dxa"/>
            <w:vAlign w:val="center"/>
            <w:hideMark/>
          </w:tcPr>
          <w:p w14:paraId="22474890"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3438A3A9" w14:textId="77777777" w:rsidTr="001D01B4">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536FFA34"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Sweden</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09DE8006"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4</w:t>
            </w:r>
          </w:p>
        </w:tc>
        <w:tc>
          <w:tcPr>
            <w:tcW w:w="59" w:type="dxa"/>
            <w:tcBorders>
              <w:top w:val="nil"/>
              <w:left w:val="nil"/>
              <w:bottom w:val="nil"/>
              <w:right w:val="nil"/>
            </w:tcBorders>
            <w:shd w:val="clear" w:color="auto" w:fill="auto"/>
            <w:noWrap/>
            <w:vAlign w:val="bottom"/>
            <w:hideMark/>
          </w:tcPr>
          <w:p w14:paraId="37E22592"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79C81F23"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0D5F7E66"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Portugal</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2380CC20"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36" w:type="dxa"/>
            <w:vAlign w:val="center"/>
            <w:hideMark/>
          </w:tcPr>
          <w:p w14:paraId="1F239C87"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3FECFBD0" w14:textId="77777777" w:rsidTr="001D01B4">
        <w:trPr>
          <w:trHeight w:val="227"/>
        </w:trPr>
        <w:tc>
          <w:tcPr>
            <w:tcW w:w="2630" w:type="dxa"/>
            <w:tcBorders>
              <w:top w:val="nil"/>
              <w:left w:val="single" w:sz="8" w:space="0" w:color="auto"/>
              <w:bottom w:val="nil"/>
              <w:right w:val="nil"/>
            </w:tcBorders>
            <w:shd w:val="clear" w:color="auto" w:fill="auto"/>
            <w:noWrap/>
            <w:vAlign w:val="bottom"/>
            <w:hideMark/>
          </w:tcPr>
          <w:p w14:paraId="7BEB6235"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 xml:space="preserve">Switzerland </w:t>
            </w:r>
          </w:p>
        </w:tc>
        <w:tc>
          <w:tcPr>
            <w:tcW w:w="1371" w:type="dxa"/>
            <w:tcBorders>
              <w:top w:val="nil"/>
              <w:left w:val="single" w:sz="8" w:space="0" w:color="auto"/>
              <w:bottom w:val="nil"/>
              <w:right w:val="single" w:sz="8" w:space="0" w:color="auto"/>
            </w:tcBorders>
            <w:shd w:val="clear" w:color="auto" w:fill="auto"/>
            <w:noWrap/>
            <w:vAlign w:val="bottom"/>
            <w:hideMark/>
          </w:tcPr>
          <w:p w14:paraId="102386F7"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59" w:type="dxa"/>
            <w:tcBorders>
              <w:top w:val="nil"/>
              <w:left w:val="nil"/>
              <w:bottom w:val="nil"/>
              <w:right w:val="nil"/>
            </w:tcBorders>
            <w:shd w:val="clear" w:color="auto" w:fill="auto"/>
            <w:noWrap/>
            <w:vAlign w:val="bottom"/>
            <w:hideMark/>
          </w:tcPr>
          <w:p w14:paraId="3DFD6103"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3C7F7B2B"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nil"/>
              <w:right w:val="nil"/>
            </w:tcBorders>
            <w:shd w:val="clear" w:color="auto" w:fill="auto"/>
            <w:noWrap/>
            <w:vAlign w:val="bottom"/>
            <w:hideMark/>
          </w:tcPr>
          <w:p w14:paraId="01A4FA9D"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Spain</w:t>
            </w:r>
          </w:p>
        </w:tc>
        <w:tc>
          <w:tcPr>
            <w:tcW w:w="1371" w:type="dxa"/>
            <w:tcBorders>
              <w:top w:val="nil"/>
              <w:left w:val="single" w:sz="8" w:space="0" w:color="auto"/>
              <w:bottom w:val="nil"/>
              <w:right w:val="single" w:sz="8" w:space="0" w:color="auto"/>
            </w:tcBorders>
            <w:shd w:val="clear" w:color="auto" w:fill="auto"/>
            <w:noWrap/>
            <w:vAlign w:val="bottom"/>
            <w:hideMark/>
          </w:tcPr>
          <w:p w14:paraId="312F1248"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36" w:type="dxa"/>
            <w:vAlign w:val="center"/>
            <w:hideMark/>
          </w:tcPr>
          <w:p w14:paraId="75DD254D"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16F3E1DE" w14:textId="77777777" w:rsidTr="001D01B4">
        <w:trPr>
          <w:trHeight w:val="227"/>
        </w:trPr>
        <w:tc>
          <w:tcPr>
            <w:tcW w:w="2630" w:type="dxa"/>
            <w:tcBorders>
              <w:top w:val="single" w:sz="4" w:space="0" w:color="auto"/>
              <w:left w:val="single" w:sz="8" w:space="0" w:color="auto"/>
              <w:bottom w:val="single" w:sz="4" w:space="0" w:color="auto"/>
              <w:right w:val="nil"/>
            </w:tcBorders>
            <w:shd w:val="clear" w:color="auto" w:fill="auto"/>
            <w:noWrap/>
            <w:vAlign w:val="bottom"/>
            <w:hideMark/>
          </w:tcPr>
          <w:p w14:paraId="01852DF6"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Turkey</w:t>
            </w:r>
          </w:p>
        </w:tc>
        <w:tc>
          <w:tcPr>
            <w:tcW w:w="13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D40F036"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5</w:t>
            </w:r>
          </w:p>
        </w:tc>
        <w:tc>
          <w:tcPr>
            <w:tcW w:w="59" w:type="dxa"/>
            <w:tcBorders>
              <w:top w:val="nil"/>
              <w:left w:val="nil"/>
              <w:bottom w:val="nil"/>
              <w:right w:val="nil"/>
            </w:tcBorders>
            <w:shd w:val="clear" w:color="auto" w:fill="auto"/>
            <w:noWrap/>
            <w:vAlign w:val="bottom"/>
            <w:hideMark/>
          </w:tcPr>
          <w:p w14:paraId="6F4C2A26"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57F9D3C9"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single" w:sz="4" w:space="0" w:color="auto"/>
              <w:left w:val="single" w:sz="8" w:space="0" w:color="auto"/>
              <w:bottom w:val="single" w:sz="4" w:space="0" w:color="auto"/>
              <w:right w:val="nil"/>
            </w:tcBorders>
            <w:shd w:val="clear" w:color="auto" w:fill="auto"/>
            <w:noWrap/>
            <w:vAlign w:val="bottom"/>
            <w:hideMark/>
          </w:tcPr>
          <w:p w14:paraId="263EBA16"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Switzerland</w:t>
            </w:r>
          </w:p>
        </w:tc>
        <w:tc>
          <w:tcPr>
            <w:tcW w:w="13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F759F54"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36" w:type="dxa"/>
            <w:vAlign w:val="center"/>
            <w:hideMark/>
          </w:tcPr>
          <w:p w14:paraId="6E6E4256"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1E6B890A" w14:textId="77777777" w:rsidTr="001D01B4">
        <w:trPr>
          <w:trHeight w:val="227"/>
        </w:trPr>
        <w:tc>
          <w:tcPr>
            <w:tcW w:w="2630" w:type="dxa"/>
            <w:tcBorders>
              <w:top w:val="nil"/>
              <w:left w:val="single" w:sz="8" w:space="0" w:color="auto"/>
              <w:bottom w:val="single" w:sz="8" w:space="0" w:color="auto"/>
              <w:right w:val="nil"/>
            </w:tcBorders>
            <w:shd w:val="clear" w:color="auto" w:fill="auto"/>
            <w:noWrap/>
            <w:vAlign w:val="bottom"/>
            <w:hideMark/>
          </w:tcPr>
          <w:p w14:paraId="252CC89C"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United Kingdom</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4218BCAC"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59" w:type="dxa"/>
            <w:tcBorders>
              <w:top w:val="nil"/>
              <w:left w:val="nil"/>
              <w:bottom w:val="nil"/>
              <w:right w:val="nil"/>
            </w:tcBorders>
            <w:shd w:val="clear" w:color="auto" w:fill="auto"/>
            <w:noWrap/>
            <w:vAlign w:val="bottom"/>
            <w:hideMark/>
          </w:tcPr>
          <w:p w14:paraId="4A0AEE92"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206F39F2"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8" w:space="0" w:color="auto"/>
              <w:right w:val="nil"/>
            </w:tcBorders>
            <w:shd w:val="clear" w:color="auto" w:fill="auto"/>
            <w:noWrap/>
            <w:vAlign w:val="bottom"/>
            <w:hideMark/>
          </w:tcPr>
          <w:p w14:paraId="660EC9C2" w14:textId="77777777" w:rsidR="00410B88" w:rsidRPr="00410B88" w:rsidRDefault="00410B88" w:rsidP="00410B88">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United Kingdom</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605F174D"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36" w:type="dxa"/>
            <w:vAlign w:val="center"/>
            <w:hideMark/>
          </w:tcPr>
          <w:p w14:paraId="3B0DE088"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r w:rsidR="00410B88" w:rsidRPr="00410B88" w14:paraId="546D6E2C" w14:textId="77777777" w:rsidTr="001D01B4">
        <w:trPr>
          <w:trHeight w:val="227"/>
        </w:trPr>
        <w:tc>
          <w:tcPr>
            <w:tcW w:w="2630" w:type="dxa"/>
            <w:tcBorders>
              <w:top w:val="nil"/>
              <w:left w:val="nil"/>
              <w:bottom w:val="nil"/>
              <w:right w:val="nil"/>
            </w:tcBorders>
            <w:shd w:val="clear" w:color="auto" w:fill="auto"/>
            <w:noWrap/>
            <w:vAlign w:val="bottom"/>
            <w:hideMark/>
          </w:tcPr>
          <w:p w14:paraId="1E7510FD"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0C1970E9"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229</w:t>
            </w:r>
          </w:p>
        </w:tc>
        <w:tc>
          <w:tcPr>
            <w:tcW w:w="59" w:type="dxa"/>
            <w:tcBorders>
              <w:top w:val="nil"/>
              <w:left w:val="nil"/>
              <w:bottom w:val="nil"/>
              <w:right w:val="nil"/>
            </w:tcBorders>
            <w:shd w:val="clear" w:color="auto" w:fill="auto"/>
            <w:noWrap/>
            <w:vAlign w:val="bottom"/>
            <w:hideMark/>
          </w:tcPr>
          <w:p w14:paraId="470D5A8F" w14:textId="77777777" w:rsidR="00410B88" w:rsidRPr="00410B88" w:rsidRDefault="00410B88" w:rsidP="00410B88">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6657F777"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2630" w:type="dxa"/>
            <w:tcBorders>
              <w:top w:val="nil"/>
              <w:left w:val="nil"/>
              <w:bottom w:val="nil"/>
              <w:right w:val="nil"/>
            </w:tcBorders>
            <w:shd w:val="clear" w:color="auto" w:fill="auto"/>
            <w:noWrap/>
            <w:vAlign w:val="bottom"/>
            <w:hideMark/>
          </w:tcPr>
          <w:p w14:paraId="57BD7010"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1980FBDE" w14:textId="77777777" w:rsidR="00410B88" w:rsidRPr="00410B88" w:rsidRDefault="00410B88" w:rsidP="00410B88">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229</w:t>
            </w:r>
          </w:p>
        </w:tc>
        <w:tc>
          <w:tcPr>
            <w:tcW w:w="36" w:type="dxa"/>
            <w:vAlign w:val="center"/>
            <w:hideMark/>
          </w:tcPr>
          <w:p w14:paraId="044B3643" w14:textId="77777777" w:rsidR="00410B88" w:rsidRPr="00410B88" w:rsidRDefault="00410B88" w:rsidP="00410B88">
            <w:pPr>
              <w:spacing w:after="0" w:line="240" w:lineRule="auto"/>
              <w:rPr>
                <w:rFonts w:ascii="Times New Roman" w:eastAsia="Times New Roman" w:hAnsi="Times New Roman" w:cs="Times New Roman"/>
                <w:sz w:val="20"/>
                <w:szCs w:val="20"/>
                <w:lang w:eastAsia="fr-BE"/>
              </w:rPr>
            </w:pPr>
          </w:p>
        </w:tc>
      </w:tr>
    </w:tbl>
    <w:p w14:paraId="02FB6C2B" w14:textId="77777777" w:rsidR="00B73AA3" w:rsidRDefault="00B73AA3" w:rsidP="00D74336">
      <w:pPr>
        <w:rPr>
          <w:b/>
          <w:bCs/>
          <w:lang w:val="en-GB"/>
        </w:rPr>
      </w:pPr>
    </w:p>
    <w:p w14:paraId="03C55CD7" w14:textId="1D85CEFC" w:rsidR="006C5103" w:rsidRPr="00F9601C" w:rsidRDefault="00F9601C" w:rsidP="00D74336">
      <w:pPr>
        <w:rPr>
          <w:lang w:val="en-GB"/>
        </w:rPr>
      </w:pPr>
      <w:r w:rsidRPr="00F9601C">
        <w:rPr>
          <w:lang w:val="en-GB"/>
        </w:rPr>
        <w:t xml:space="preserve">In 2023, the Furniture Fair will have a total of 229 exhibitors, an increase of 14 exhibitors compared to 2022. What stands out is a strong increase in exhibitors from Belgium (+10) and the Netherlands (+7). </w:t>
      </w:r>
      <w:r w:rsidR="0060355F">
        <w:rPr>
          <w:lang w:val="en-GB"/>
        </w:rPr>
        <w:t>In surface</w:t>
      </w:r>
      <w:r w:rsidRPr="00F9601C">
        <w:rPr>
          <w:lang w:val="en-GB"/>
        </w:rPr>
        <w:t>, this means an increase of almost 5000 m²</w:t>
      </w:r>
      <w:r w:rsidR="006C5103" w:rsidRPr="00F9601C">
        <w:rPr>
          <w:lang w:val="en-GB"/>
        </w:rPr>
        <w:t xml:space="preserve">. </w:t>
      </w:r>
    </w:p>
    <w:p w14:paraId="7B123DA4" w14:textId="0970A9EA" w:rsidR="001D01B4" w:rsidRPr="00F9601C" w:rsidRDefault="00F9601C" w:rsidP="00D74336">
      <w:pPr>
        <w:rPr>
          <w:lang w:val="en-GB"/>
        </w:rPr>
      </w:pPr>
      <w:r w:rsidRPr="00F9601C">
        <w:rPr>
          <w:lang w:val="en-GB"/>
        </w:rPr>
        <w:t>Most notable are the full occupancy of Hall 4, increased occupancy of 'traditional' stands in Hall 3 and clear growth in Hall 6. As a result, we may say that, with the exception of Hall 6, the halls were fully occupied for the first time in a long time</w:t>
      </w:r>
      <w:r w:rsidR="001D01B4" w:rsidRPr="00F9601C">
        <w:rPr>
          <w:lang w:val="en-GB"/>
        </w:rPr>
        <w:t>.</w:t>
      </w:r>
    </w:p>
    <w:p w14:paraId="73E8CF52" w14:textId="1DC6CB52" w:rsidR="006C5103" w:rsidRDefault="00F9601C" w:rsidP="00D74336">
      <w:pPr>
        <w:rPr>
          <w:lang w:val="en-GB"/>
        </w:rPr>
      </w:pPr>
      <w:r w:rsidRPr="00F9601C">
        <w:rPr>
          <w:lang w:val="en-GB"/>
        </w:rPr>
        <w:t xml:space="preserve">As loyal exhibitors Passe Partout and Recor Group moved from Hall 5 to Hall 4 to expand their stand area, the top three stand surfaces look very different </w:t>
      </w:r>
      <w:r w:rsidR="006E74AD">
        <w:rPr>
          <w:lang w:val="en-GB"/>
        </w:rPr>
        <w:t>this year</w:t>
      </w:r>
      <w:r w:rsidR="00B96F9C" w:rsidRPr="00F9601C">
        <w:rPr>
          <w:lang w:val="en-GB"/>
        </w:rPr>
        <w:t>.</w:t>
      </w:r>
    </w:p>
    <w:p w14:paraId="394BBF83" w14:textId="77777777" w:rsidR="00BE23F6" w:rsidRPr="00F9601C" w:rsidRDefault="00BE23F6" w:rsidP="00D74336">
      <w:pPr>
        <w:rPr>
          <w:lang w:val="en-GB"/>
        </w:rPr>
      </w:pPr>
    </w:p>
    <w:tbl>
      <w:tblPr>
        <w:tblW w:w="3100" w:type="dxa"/>
        <w:tblInd w:w="1605" w:type="dxa"/>
        <w:tblCellMar>
          <w:left w:w="70" w:type="dxa"/>
          <w:right w:w="70" w:type="dxa"/>
        </w:tblCellMar>
        <w:tblLook w:val="04A0" w:firstRow="1" w:lastRow="0" w:firstColumn="1" w:lastColumn="0" w:noHBand="0" w:noVBand="1"/>
      </w:tblPr>
      <w:tblGrid>
        <w:gridCol w:w="2085"/>
        <w:gridCol w:w="1015"/>
      </w:tblGrid>
      <w:tr w:rsidR="00B96F9C" w:rsidRPr="00B96F9C" w14:paraId="2A404F7C" w14:textId="77777777" w:rsidTr="00D614FC">
        <w:trPr>
          <w:trHeight w:val="300"/>
        </w:trPr>
        <w:tc>
          <w:tcPr>
            <w:tcW w:w="3100" w:type="dxa"/>
            <w:gridSpan w:val="2"/>
            <w:tcBorders>
              <w:top w:val="nil"/>
              <w:left w:val="nil"/>
              <w:bottom w:val="nil"/>
              <w:right w:val="nil"/>
            </w:tcBorders>
            <w:shd w:val="clear" w:color="auto" w:fill="auto"/>
            <w:noWrap/>
            <w:vAlign w:val="bottom"/>
            <w:hideMark/>
          </w:tcPr>
          <w:p w14:paraId="285043A8" w14:textId="4FF54720" w:rsidR="00B96F9C" w:rsidRPr="00B96F9C" w:rsidRDefault="00B96F9C" w:rsidP="00B96F9C">
            <w:pPr>
              <w:spacing w:after="0" w:line="240" w:lineRule="auto"/>
              <w:rPr>
                <w:rFonts w:ascii="Calibri" w:eastAsia="Times New Roman" w:hAnsi="Calibri" w:cs="Calibri"/>
                <w:b/>
                <w:bCs/>
                <w:color w:val="000000"/>
                <w:lang w:eastAsia="fr-BE"/>
              </w:rPr>
            </w:pPr>
            <w:r w:rsidRPr="00B96F9C">
              <w:rPr>
                <w:rFonts w:ascii="Calibri" w:eastAsia="Times New Roman" w:hAnsi="Calibri" w:cs="Calibri"/>
                <w:b/>
                <w:bCs/>
                <w:color w:val="000000"/>
                <w:lang w:eastAsia="fr-BE"/>
              </w:rPr>
              <w:t xml:space="preserve">TOP 3 </w:t>
            </w:r>
            <w:r w:rsidR="00F9601C">
              <w:rPr>
                <w:rFonts w:ascii="Calibri" w:eastAsia="Times New Roman" w:hAnsi="Calibri" w:cs="Calibri"/>
                <w:b/>
                <w:bCs/>
                <w:color w:val="000000"/>
                <w:lang w:eastAsia="fr-BE"/>
              </w:rPr>
              <w:t>Surfaces</w:t>
            </w:r>
            <w:r w:rsidRPr="00B96F9C">
              <w:rPr>
                <w:rFonts w:ascii="Calibri" w:eastAsia="Times New Roman" w:hAnsi="Calibri" w:cs="Calibri"/>
                <w:b/>
                <w:bCs/>
                <w:color w:val="000000"/>
                <w:lang w:eastAsia="fr-BE"/>
              </w:rPr>
              <w:t xml:space="preserve"> 2023</w:t>
            </w:r>
          </w:p>
        </w:tc>
      </w:tr>
      <w:tr w:rsidR="00B96F9C" w:rsidRPr="00B96F9C" w14:paraId="4C562207" w14:textId="77777777" w:rsidTr="00D614FC">
        <w:trPr>
          <w:trHeight w:val="300"/>
        </w:trPr>
        <w:tc>
          <w:tcPr>
            <w:tcW w:w="2085" w:type="dxa"/>
            <w:tcBorders>
              <w:top w:val="nil"/>
              <w:left w:val="nil"/>
              <w:bottom w:val="nil"/>
              <w:right w:val="nil"/>
            </w:tcBorders>
            <w:shd w:val="clear" w:color="auto" w:fill="auto"/>
            <w:noWrap/>
            <w:vAlign w:val="bottom"/>
            <w:hideMark/>
          </w:tcPr>
          <w:p w14:paraId="00361E85" w14:textId="77777777" w:rsidR="00B96F9C" w:rsidRPr="00B96F9C" w:rsidRDefault="00B96F9C" w:rsidP="00B96F9C">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MECAM</w:t>
            </w:r>
          </w:p>
        </w:tc>
        <w:tc>
          <w:tcPr>
            <w:tcW w:w="1015" w:type="dxa"/>
            <w:tcBorders>
              <w:top w:val="nil"/>
              <w:left w:val="nil"/>
              <w:bottom w:val="nil"/>
              <w:right w:val="nil"/>
            </w:tcBorders>
            <w:shd w:val="clear" w:color="auto" w:fill="auto"/>
            <w:noWrap/>
            <w:vAlign w:val="bottom"/>
            <w:hideMark/>
          </w:tcPr>
          <w:p w14:paraId="373D78F5" w14:textId="77777777" w:rsidR="00B96F9C" w:rsidRPr="00B96F9C" w:rsidRDefault="00B96F9C" w:rsidP="00B96F9C">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1523m²</w:t>
            </w:r>
          </w:p>
        </w:tc>
      </w:tr>
      <w:tr w:rsidR="00B96F9C" w:rsidRPr="00B96F9C" w14:paraId="767BB05F" w14:textId="77777777" w:rsidTr="00D614FC">
        <w:trPr>
          <w:trHeight w:val="300"/>
        </w:trPr>
        <w:tc>
          <w:tcPr>
            <w:tcW w:w="2085" w:type="dxa"/>
            <w:tcBorders>
              <w:top w:val="nil"/>
              <w:left w:val="nil"/>
              <w:bottom w:val="nil"/>
              <w:right w:val="nil"/>
            </w:tcBorders>
            <w:shd w:val="clear" w:color="auto" w:fill="auto"/>
            <w:noWrap/>
            <w:vAlign w:val="bottom"/>
            <w:hideMark/>
          </w:tcPr>
          <w:p w14:paraId="1F64324C" w14:textId="77777777" w:rsidR="00B96F9C" w:rsidRPr="00B96F9C" w:rsidRDefault="00B96F9C" w:rsidP="00B96F9C">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RECOR</w:t>
            </w:r>
          </w:p>
        </w:tc>
        <w:tc>
          <w:tcPr>
            <w:tcW w:w="1015" w:type="dxa"/>
            <w:tcBorders>
              <w:top w:val="nil"/>
              <w:left w:val="nil"/>
              <w:bottom w:val="nil"/>
              <w:right w:val="nil"/>
            </w:tcBorders>
            <w:shd w:val="clear" w:color="auto" w:fill="auto"/>
            <w:noWrap/>
            <w:vAlign w:val="bottom"/>
            <w:hideMark/>
          </w:tcPr>
          <w:p w14:paraId="61EA5996" w14:textId="77777777" w:rsidR="00B96F9C" w:rsidRPr="00B96F9C" w:rsidRDefault="00B96F9C" w:rsidP="00B96F9C">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1328m²</w:t>
            </w:r>
          </w:p>
        </w:tc>
      </w:tr>
      <w:tr w:rsidR="00B96F9C" w:rsidRPr="00B96F9C" w14:paraId="05F66554" w14:textId="77777777" w:rsidTr="00D614FC">
        <w:trPr>
          <w:trHeight w:val="300"/>
        </w:trPr>
        <w:tc>
          <w:tcPr>
            <w:tcW w:w="2085" w:type="dxa"/>
            <w:tcBorders>
              <w:top w:val="nil"/>
              <w:left w:val="nil"/>
              <w:bottom w:val="nil"/>
              <w:right w:val="nil"/>
            </w:tcBorders>
            <w:shd w:val="clear" w:color="auto" w:fill="auto"/>
            <w:noWrap/>
            <w:vAlign w:val="bottom"/>
            <w:hideMark/>
          </w:tcPr>
          <w:p w14:paraId="022A2766" w14:textId="77777777" w:rsidR="00B96F9C" w:rsidRPr="00B96F9C" w:rsidRDefault="00B96F9C" w:rsidP="00B96F9C">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PASSE PARTOUT</w:t>
            </w:r>
          </w:p>
        </w:tc>
        <w:tc>
          <w:tcPr>
            <w:tcW w:w="1015" w:type="dxa"/>
            <w:tcBorders>
              <w:top w:val="nil"/>
              <w:left w:val="nil"/>
              <w:bottom w:val="nil"/>
              <w:right w:val="nil"/>
            </w:tcBorders>
            <w:shd w:val="clear" w:color="auto" w:fill="auto"/>
            <w:noWrap/>
            <w:vAlign w:val="bottom"/>
            <w:hideMark/>
          </w:tcPr>
          <w:p w14:paraId="26362356" w14:textId="77777777" w:rsidR="00B96F9C" w:rsidRPr="00B96F9C" w:rsidRDefault="00B96F9C" w:rsidP="00B96F9C">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1040m²</w:t>
            </w:r>
          </w:p>
        </w:tc>
      </w:tr>
    </w:tbl>
    <w:p w14:paraId="41737B78" w14:textId="77777777" w:rsidR="004701F4" w:rsidRPr="004701F4" w:rsidRDefault="004701F4" w:rsidP="00D74336">
      <w:pPr>
        <w:rPr>
          <w:b/>
          <w:bCs/>
          <w:sz w:val="4"/>
          <w:szCs w:val="4"/>
          <w:lang w:val="nl-BE"/>
        </w:rPr>
      </w:pPr>
    </w:p>
    <w:p w14:paraId="5D382540" w14:textId="77777777" w:rsidR="004701F4" w:rsidRDefault="004701F4" w:rsidP="00D74336">
      <w:pPr>
        <w:rPr>
          <w:b/>
          <w:bCs/>
          <w:lang w:val="nl-BE"/>
        </w:rPr>
      </w:pPr>
    </w:p>
    <w:p w14:paraId="1820D89A" w14:textId="3F224FAE" w:rsidR="004701F4" w:rsidRPr="001D01B4" w:rsidRDefault="007A02AA" w:rsidP="00D74336">
      <w:pPr>
        <w:rPr>
          <w:b/>
          <w:bCs/>
          <w:lang w:val="nl-BE"/>
        </w:rPr>
      </w:pPr>
      <w:r w:rsidRPr="001D01B4">
        <w:rPr>
          <w:b/>
          <w:bCs/>
          <w:lang w:val="nl-BE"/>
        </w:rPr>
        <w:lastRenderedPageBreak/>
        <w:t>Brussels By Night</w:t>
      </w:r>
    </w:p>
    <w:p w14:paraId="7EDCCA8E" w14:textId="363C54B6" w:rsidR="002D4DA4" w:rsidRDefault="00F9601C" w:rsidP="00D74336">
      <w:pPr>
        <w:rPr>
          <w:lang w:val="en-GB"/>
        </w:rPr>
      </w:pPr>
      <w:r w:rsidRPr="00F9601C">
        <w:rPr>
          <w:lang w:val="en-GB"/>
        </w:rPr>
        <w:t xml:space="preserve">The Brussels By Night bedroom segment remains a segment with great potential. </w:t>
      </w:r>
      <w:r w:rsidR="0060355F">
        <w:rPr>
          <w:lang w:val="en-GB"/>
        </w:rPr>
        <w:t>Knowing</w:t>
      </w:r>
      <w:r w:rsidRPr="00F9601C">
        <w:rPr>
          <w:lang w:val="en-GB"/>
        </w:rPr>
        <w:t xml:space="preserve"> the Furniture Fair took a big step forward in 2023, it is in this segment that the growth is most striking, with an increase of 350 m² compared to the previous edition. Here too, we make the link to the </w:t>
      </w:r>
      <w:r w:rsidR="004701F4">
        <w:rPr>
          <w:lang w:val="en-GB"/>
        </w:rPr>
        <w:t>f</w:t>
      </w:r>
      <w:r w:rsidRPr="00F9601C">
        <w:rPr>
          <w:lang w:val="en-GB"/>
        </w:rPr>
        <w:t>uture: in fact, we believe that Brussels is the right place to hold a 'sleep fair'. When registering, a significant proportion of our visitors also indicated that they work in a bed shop, or are interested in products from the sleep segment (+20%). The commercial success of exhibitors in 2022 was also a signal for us to continue working on the future of Brussels By Night. We heard this only last year during the fair from the exhibitors themselves. The most important thing for this edition was a larger exhibition area, while maintaining quality. With exhibitors such as Hilding Anders, Nill Spring, Haarhuis &amp; Jansen</w:t>
      </w:r>
      <w:r w:rsidR="00B633EE">
        <w:rPr>
          <w:lang w:val="en-GB"/>
        </w:rPr>
        <w:t>,</w:t>
      </w:r>
      <w:r w:rsidRPr="00F9601C">
        <w:rPr>
          <w:lang w:val="en-GB"/>
        </w:rPr>
        <w:t xml:space="preserve"> Hukla, Aya of Sweden, Dauny, Elsach and Arctic Living exhibiting in Brussels for the first time, or returning after an absence, we can even speak of an injection of quality</w:t>
      </w:r>
      <w:r w:rsidR="002D4DA4" w:rsidRPr="00F9601C">
        <w:rPr>
          <w:lang w:val="en-GB"/>
        </w:rPr>
        <w:t>.</w:t>
      </w:r>
    </w:p>
    <w:p w14:paraId="7A919AEF" w14:textId="77777777" w:rsidR="004701F4" w:rsidRDefault="004701F4" w:rsidP="00D74336">
      <w:pPr>
        <w:rPr>
          <w:lang w:val="en-GB"/>
        </w:rPr>
      </w:pPr>
    </w:p>
    <w:p w14:paraId="6C21FC7A" w14:textId="0950AE7F" w:rsidR="007A02AA" w:rsidRPr="00F9601C" w:rsidRDefault="00F9601C" w:rsidP="00D74336">
      <w:pPr>
        <w:rPr>
          <w:lang w:val="en-GB"/>
        </w:rPr>
      </w:pPr>
      <w:r w:rsidRPr="00F9601C">
        <w:rPr>
          <w:lang w:val="en-GB"/>
        </w:rPr>
        <w:t>Of course, there are still steps to be taken. For instance, the absence of exhibitors from neighbouring France in Brussels By Night, a country with great potential in the field of bedroom comfort, is striking.</w:t>
      </w:r>
    </w:p>
    <w:tbl>
      <w:tblPr>
        <w:tblW w:w="8156" w:type="dxa"/>
        <w:tblCellMar>
          <w:left w:w="70" w:type="dxa"/>
          <w:right w:w="70" w:type="dxa"/>
        </w:tblCellMar>
        <w:tblLook w:val="04A0" w:firstRow="1" w:lastRow="0" w:firstColumn="1" w:lastColumn="0" w:noHBand="0" w:noVBand="1"/>
      </w:tblPr>
      <w:tblGrid>
        <w:gridCol w:w="2630"/>
        <w:gridCol w:w="1371"/>
        <w:gridCol w:w="146"/>
        <w:gridCol w:w="146"/>
        <w:gridCol w:w="2630"/>
        <w:gridCol w:w="1371"/>
        <w:gridCol w:w="146"/>
      </w:tblGrid>
      <w:tr w:rsidR="00C01F53" w:rsidRPr="00C01F53" w14:paraId="322ACD63" w14:textId="77777777" w:rsidTr="00C01F53">
        <w:trPr>
          <w:gridAfter w:val="1"/>
          <w:wAfter w:w="36" w:type="dxa"/>
          <w:trHeight w:val="450"/>
        </w:trPr>
        <w:tc>
          <w:tcPr>
            <w:tcW w:w="812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AB30DF2" w14:textId="77777777" w:rsidR="00C01F53" w:rsidRPr="00C01F53" w:rsidRDefault="00C01F53" w:rsidP="00C01F53">
            <w:pPr>
              <w:spacing w:after="0" w:line="240" w:lineRule="auto"/>
              <w:jc w:val="center"/>
              <w:rPr>
                <w:rFonts w:ascii="Calibri" w:eastAsia="Times New Roman" w:hAnsi="Calibri" w:cs="Calibri"/>
                <w:color w:val="000000"/>
                <w:sz w:val="44"/>
                <w:szCs w:val="44"/>
                <w:lang w:eastAsia="fr-BE"/>
              </w:rPr>
            </w:pPr>
            <w:r w:rsidRPr="00C01F53">
              <w:rPr>
                <w:rFonts w:ascii="Calibri" w:eastAsia="Times New Roman" w:hAnsi="Calibri" w:cs="Calibri"/>
                <w:color w:val="000000"/>
                <w:sz w:val="44"/>
                <w:szCs w:val="44"/>
                <w:lang w:eastAsia="fr-BE"/>
              </w:rPr>
              <w:t>2023 - Brussels By Night</w:t>
            </w:r>
          </w:p>
        </w:tc>
      </w:tr>
      <w:tr w:rsidR="00C01F53" w:rsidRPr="00C01F53" w14:paraId="399A0C06" w14:textId="77777777" w:rsidTr="00C01F53">
        <w:trPr>
          <w:trHeight w:val="315"/>
        </w:trPr>
        <w:tc>
          <w:tcPr>
            <w:tcW w:w="8120" w:type="dxa"/>
            <w:gridSpan w:val="6"/>
            <w:vMerge/>
            <w:tcBorders>
              <w:top w:val="single" w:sz="8" w:space="0" w:color="auto"/>
              <w:left w:val="single" w:sz="8" w:space="0" w:color="auto"/>
              <w:bottom w:val="single" w:sz="8" w:space="0" w:color="000000"/>
              <w:right w:val="single" w:sz="8" w:space="0" w:color="000000"/>
            </w:tcBorders>
            <w:vAlign w:val="center"/>
            <w:hideMark/>
          </w:tcPr>
          <w:p w14:paraId="2F162BF4" w14:textId="77777777" w:rsidR="00C01F53" w:rsidRPr="00C01F53" w:rsidRDefault="00C01F53" w:rsidP="00C01F53">
            <w:pPr>
              <w:spacing w:after="0" w:line="240" w:lineRule="auto"/>
              <w:rPr>
                <w:rFonts w:ascii="Calibri" w:eastAsia="Times New Roman" w:hAnsi="Calibri" w:cs="Calibri"/>
                <w:color w:val="000000"/>
                <w:sz w:val="44"/>
                <w:szCs w:val="44"/>
                <w:lang w:eastAsia="fr-BE"/>
              </w:rPr>
            </w:pPr>
          </w:p>
        </w:tc>
        <w:tc>
          <w:tcPr>
            <w:tcW w:w="36" w:type="dxa"/>
            <w:tcBorders>
              <w:top w:val="nil"/>
              <w:left w:val="nil"/>
              <w:bottom w:val="nil"/>
              <w:right w:val="nil"/>
            </w:tcBorders>
            <w:shd w:val="clear" w:color="auto" w:fill="auto"/>
            <w:noWrap/>
            <w:vAlign w:val="bottom"/>
            <w:hideMark/>
          </w:tcPr>
          <w:p w14:paraId="00A0F315" w14:textId="77777777" w:rsidR="00C01F53" w:rsidRPr="00C01F53" w:rsidRDefault="00C01F53" w:rsidP="00C01F53">
            <w:pPr>
              <w:spacing w:after="0" w:line="240" w:lineRule="auto"/>
              <w:jc w:val="center"/>
              <w:rPr>
                <w:rFonts w:ascii="Calibri" w:eastAsia="Times New Roman" w:hAnsi="Calibri" w:cs="Calibri"/>
                <w:color w:val="000000"/>
                <w:sz w:val="44"/>
                <w:szCs w:val="44"/>
                <w:lang w:eastAsia="fr-BE"/>
              </w:rPr>
            </w:pPr>
          </w:p>
        </w:tc>
      </w:tr>
      <w:tr w:rsidR="00C01F53" w:rsidRPr="00C01F53" w14:paraId="2F990338" w14:textId="77777777" w:rsidTr="00C01F53">
        <w:trPr>
          <w:trHeight w:val="300"/>
        </w:trPr>
        <w:tc>
          <w:tcPr>
            <w:tcW w:w="2630" w:type="dxa"/>
            <w:tcBorders>
              <w:top w:val="nil"/>
              <w:left w:val="single" w:sz="8" w:space="0" w:color="auto"/>
              <w:bottom w:val="single" w:sz="8" w:space="0" w:color="auto"/>
              <w:right w:val="nil"/>
            </w:tcBorders>
            <w:shd w:val="clear" w:color="auto" w:fill="auto"/>
            <w:noWrap/>
            <w:vAlign w:val="bottom"/>
            <w:hideMark/>
          </w:tcPr>
          <w:p w14:paraId="65CC2024" w14:textId="77777777" w:rsidR="00C01F53" w:rsidRPr="00C01F53" w:rsidRDefault="00C01F53" w:rsidP="00C01F53">
            <w:pPr>
              <w:spacing w:after="0" w:line="240" w:lineRule="auto"/>
              <w:rPr>
                <w:rFonts w:ascii="Calibri" w:eastAsia="Times New Roman" w:hAnsi="Calibri" w:cs="Calibri"/>
                <w:b/>
                <w:bCs/>
                <w:color w:val="000000"/>
                <w:lang w:eastAsia="fr-BE"/>
              </w:rPr>
            </w:pPr>
            <w:r w:rsidRPr="00C01F53">
              <w:rPr>
                <w:rFonts w:ascii="Calibri" w:eastAsia="Times New Roman" w:hAnsi="Calibri" w:cs="Calibri"/>
                <w:b/>
                <w:bCs/>
                <w:color w:val="000000"/>
                <w:lang w:eastAsia="fr-BE"/>
              </w:rPr>
              <w:t>Country of Origin</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62F9E1D6" w14:textId="77777777" w:rsidR="00C01F53" w:rsidRPr="00C01F53" w:rsidRDefault="00C01F53" w:rsidP="00C01F53">
            <w:pPr>
              <w:spacing w:after="0" w:line="240" w:lineRule="auto"/>
              <w:rPr>
                <w:rFonts w:ascii="Calibri" w:eastAsia="Times New Roman" w:hAnsi="Calibri" w:cs="Calibri"/>
                <w:b/>
                <w:bCs/>
                <w:color w:val="000000"/>
                <w:lang w:eastAsia="fr-BE"/>
              </w:rPr>
            </w:pPr>
            <w:r w:rsidRPr="00C01F53">
              <w:rPr>
                <w:rFonts w:ascii="Calibri" w:eastAsia="Times New Roman" w:hAnsi="Calibri" w:cs="Calibri"/>
                <w:b/>
                <w:bCs/>
                <w:color w:val="000000"/>
                <w:lang w:eastAsia="fr-BE"/>
              </w:rPr>
              <w:t>Quantity</w:t>
            </w:r>
          </w:p>
        </w:tc>
        <w:tc>
          <w:tcPr>
            <w:tcW w:w="59" w:type="dxa"/>
            <w:tcBorders>
              <w:top w:val="nil"/>
              <w:left w:val="nil"/>
              <w:bottom w:val="nil"/>
              <w:right w:val="nil"/>
            </w:tcBorders>
            <w:shd w:val="clear" w:color="auto" w:fill="auto"/>
            <w:noWrap/>
            <w:vAlign w:val="bottom"/>
            <w:hideMark/>
          </w:tcPr>
          <w:p w14:paraId="2759CA00" w14:textId="77777777" w:rsidR="00C01F53" w:rsidRPr="00C01F53" w:rsidRDefault="00C01F53" w:rsidP="00C01F53">
            <w:pPr>
              <w:spacing w:after="0" w:line="240" w:lineRule="auto"/>
              <w:rPr>
                <w:rFonts w:ascii="Calibri" w:eastAsia="Times New Roman" w:hAnsi="Calibri" w:cs="Calibri"/>
                <w:b/>
                <w:bCs/>
                <w:color w:val="000000"/>
                <w:lang w:eastAsia="fr-BE"/>
              </w:rPr>
            </w:pPr>
          </w:p>
        </w:tc>
        <w:tc>
          <w:tcPr>
            <w:tcW w:w="59" w:type="dxa"/>
            <w:tcBorders>
              <w:top w:val="nil"/>
              <w:left w:val="nil"/>
              <w:bottom w:val="nil"/>
              <w:right w:val="nil"/>
            </w:tcBorders>
            <w:shd w:val="clear" w:color="auto" w:fill="auto"/>
            <w:noWrap/>
            <w:vAlign w:val="bottom"/>
            <w:hideMark/>
          </w:tcPr>
          <w:p w14:paraId="3AA7341F"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8" w:space="0" w:color="auto"/>
              <w:right w:val="nil"/>
            </w:tcBorders>
            <w:shd w:val="clear" w:color="auto" w:fill="auto"/>
            <w:noWrap/>
            <w:vAlign w:val="bottom"/>
            <w:hideMark/>
          </w:tcPr>
          <w:p w14:paraId="3B876619" w14:textId="77777777" w:rsidR="00C01F53" w:rsidRPr="00C01F53" w:rsidRDefault="00C01F53" w:rsidP="00C01F53">
            <w:pPr>
              <w:spacing w:after="0" w:line="240" w:lineRule="auto"/>
              <w:rPr>
                <w:rFonts w:ascii="Calibri" w:eastAsia="Times New Roman" w:hAnsi="Calibri" w:cs="Calibri"/>
                <w:b/>
                <w:bCs/>
                <w:color w:val="000000"/>
                <w:lang w:eastAsia="fr-BE"/>
              </w:rPr>
            </w:pPr>
            <w:r w:rsidRPr="00C01F53">
              <w:rPr>
                <w:rFonts w:ascii="Calibri" w:eastAsia="Times New Roman" w:hAnsi="Calibri" w:cs="Calibri"/>
                <w:b/>
                <w:bCs/>
                <w:color w:val="000000"/>
                <w:lang w:eastAsia="fr-BE"/>
              </w:rPr>
              <w:t>Country of Origin</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5464A8F1" w14:textId="77777777" w:rsidR="00C01F53" w:rsidRPr="00C01F53" w:rsidRDefault="00C01F53" w:rsidP="00C01F53">
            <w:pPr>
              <w:spacing w:after="0" w:line="240" w:lineRule="auto"/>
              <w:rPr>
                <w:rFonts w:ascii="Calibri" w:eastAsia="Times New Roman" w:hAnsi="Calibri" w:cs="Calibri"/>
                <w:b/>
                <w:bCs/>
                <w:color w:val="000000"/>
                <w:lang w:eastAsia="fr-BE"/>
              </w:rPr>
            </w:pPr>
            <w:r w:rsidRPr="00C01F53">
              <w:rPr>
                <w:rFonts w:ascii="Calibri" w:eastAsia="Times New Roman" w:hAnsi="Calibri" w:cs="Calibri"/>
                <w:b/>
                <w:bCs/>
                <w:color w:val="000000"/>
                <w:lang w:eastAsia="fr-BE"/>
              </w:rPr>
              <w:t>Quantity</w:t>
            </w:r>
          </w:p>
        </w:tc>
        <w:tc>
          <w:tcPr>
            <w:tcW w:w="36" w:type="dxa"/>
            <w:vAlign w:val="center"/>
            <w:hideMark/>
          </w:tcPr>
          <w:p w14:paraId="34B219EA"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r w:rsidR="00C01F53" w:rsidRPr="00C01F53" w14:paraId="652EA9B1" w14:textId="77777777" w:rsidTr="00C01F53">
        <w:trPr>
          <w:trHeight w:val="315"/>
        </w:trPr>
        <w:tc>
          <w:tcPr>
            <w:tcW w:w="2630" w:type="dxa"/>
            <w:tcBorders>
              <w:top w:val="nil"/>
              <w:left w:val="single" w:sz="8" w:space="0" w:color="auto"/>
              <w:bottom w:val="single" w:sz="4" w:space="0" w:color="auto"/>
              <w:right w:val="nil"/>
            </w:tcBorders>
            <w:shd w:val="clear" w:color="auto" w:fill="auto"/>
            <w:noWrap/>
            <w:vAlign w:val="bottom"/>
            <w:hideMark/>
          </w:tcPr>
          <w:p w14:paraId="1C1D53B0" w14:textId="77777777"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Belgium</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2C204056"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10</w:t>
            </w:r>
          </w:p>
        </w:tc>
        <w:tc>
          <w:tcPr>
            <w:tcW w:w="59" w:type="dxa"/>
            <w:tcBorders>
              <w:top w:val="nil"/>
              <w:left w:val="nil"/>
              <w:bottom w:val="nil"/>
              <w:right w:val="nil"/>
            </w:tcBorders>
            <w:shd w:val="clear" w:color="auto" w:fill="auto"/>
            <w:noWrap/>
            <w:vAlign w:val="bottom"/>
            <w:hideMark/>
          </w:tcPr>
          <w:p w14:paraId="6C50DBF6"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75135976"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025BEFB1" w14:textId="77777777"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Netherlands</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C071B77"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16</w:t>
            </w:r>
          </w:p>
        </w:tc>
        <w:tc>
          <w:tcPr>
            <w:tcW w:w="36" w:type="dxa"/>
            <w:vAlign w:val="center"/>
            <w:hideMark/>
          </w:tcPr>
          <w:p w14:paraId="57B5669E"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r w:rsidR="00C01F53" w:rsidRPr="00C01F53" w14:paraId="1E882699" w14:textId="77777777" w:rsidTr="00C01F53">
        <w:trPr>
          <w:trHeight w:val="300"/>
        </w:trPr>
        <w:tc>
          <w:tcPr>
            <w:tcW w:w="2630" w:type="dxa"/>
            <w:tcBorders>
              <w:top w:val="nil"/>
              <w:left w:val="single" w:sz="8" w:space="0" w:color="auto"/>
              <w:bottom w:val="single" w:sz="4" w:space="0" w:color="auto"/>
              <w:right w:val="nil"/>
            </w:tcBorders>
            <w:shd w:val="clear" w:color="auto" w:fill="auto"/>
            <w:noWrap/>
            <w:vAlign w:val="bottom"/>
            <w:hideMark/>
          </w:tcPr>
          <w:p w14:paraId="4A30D387" w14:textId="77777777"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Germany</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E2FAEEB"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59" w:type="dxa"/>
            <w:tcBorders>
              <w:top w:val="nil"/>
              <w:left w:val="nil"/>
              <w:bottom w:val="nil"/>
              <w:right w:val="nil"/>
            </w:tcBorders>
            <w:shd w:val="clear" w:color="auto" w:fill="auto"/>
            <w:noWrap/>
            <w:vAlign w:val="bottom"/>
            <w:hideMark/>
          </w:tcPr>
          <w:p w14:paraId="16565526"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090D5C3D"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609843EF" w14:textId="77777777"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Belgium</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C73155E"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10</w:t>
            </w:r>
          </w:p>
        </w:tc>
        <w:tc>
          <w:tcPr>
            <w:tcW w:w="36" w:type="dxa"/>
            <w:vAlign w:val="center"/>
            <w:hideMark/>
          </w:tcPr>
          <w:p w14:paraId="7607A66A"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r w:rsidR="00C01F53" w:rsidRPr="00C01F53" w14:paraId="2B13C82E" w14:textId="77777777" w:rsidTr="00C01F53">
        <w:trPr>
          <w:trHeight w:val="300"/>
        </w:trPr>
        <w:tc>
          <w:tcPr>
            <w:tcW w:w="2630" w:type="dxa"/>
            <w:tcBorders>
              <w:top w:val="nil"/>
              <w:left w:val="single" w:sz="8" w:space="0" w:color="auto"/>
              <w:bottom w:val="single" w:sz="4" w:space="0" w:color="auto"/>
              <w:right w:val="nil"/>
            </w:tcBorders>
            <w:shd w:val="clear" w:color="auto" w:fill="auto"/>
            <w:noWrap/>
            <w:vAlign w:val="bottom"/>
            <w:hideMark/>
          </w:tcPr>
          <w:p w14:paraId="683D793F" w14:textId="77777777"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Lithuania</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9615289"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59" w:type="dxa"/>
            <w:tcBorders>
              <w:top w:val="nil"/>
              <w:left w:val="nil"/>
              <w:bottom w:val="nil"/>
              <w:right w:val="nil"/>
            </w:tcBorders>
            <w:shd w:val="clear" w:color="auto" w:fill="auto"/>
            <w:noWrap/>
            <w:vAlign w:val="bottom"/>
            <w:hideMark/>
          </w:tcPr>
          <w:p w14:paraId="45A813C8"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5C0BBA78"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48FD6D21" w14:textId="77777777"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Germany</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3D50552B"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36" w:type="dxa"/>
            <w:vAlign w:val="center"/>
            <w:hideMark/>
          </w:tcPr>
          <w:p w14:paraId="4DE025B7"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r w:rsidR="00C01F53" w:rsidRPr="00C01F53" w14:paraId="3316B5F6" w14:textId="77777777" w:rsidTr="00C01F53">
        <w:trPr>
          <w:trHeight w:val="300"/>
        </w:trPr>
        <w:tc>
          <w:tcPr>
            <w:tcW w:w="2630" w:type="dxa"/>
            <w:tcBorders>
              <w:top w:val="nil"/>
              <w:left w:val="single" w:sz="8" w:space="0" w:color="auto"/>
              <w:bottom w:val="single" w:sz="4" w:space="0" w:color="auto"/>
              <w:right w:val="nil"/>
            </w:tcBorders>
            <w:shd w:val="clear" w:color="auto" w:fill="auto"/>
            <w:noWrap/>
            <w:vAlign w:val="bottom"/>
            <w:hideMark/>
          </w:tcPr>
          <w:p w14:paraId="30F3595D" w14:textId="77777777"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Netherlands</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02B817A9"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16</w:t>
            </w:r>
          </w:p>
        </w:tc>
        <w:tc>
          <w:tcPr>
            <w:tcW w:w="59" w:type="dxa"/>
            <w:tcBorders>
              <w:top w:val="nil"/>
              <w:left w:val="nil"/>
              <w:bottom w:val="nil"/>
              <w:right w:val="nil"/>
            </w:tcBorders>
            <w:shd w:val="clear" w:color="auto" w:fill="auto"/>
            <w:noWrap/>
            <w:vAlign w:val="bottom"/>
            <w:hideMark/>
          </w:tcPr>
          <w:p w14:paraId="6B705DD2"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50CC40AB"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46D9C8F2" w14:textId="77777777"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Lithuania</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2BFECA2D"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36" w:type="dxa"/>
            <w:vAlign w:val="center"/>
            <w:hideMark/>
          </w:tcPr>
          <w:p w14:paraId="689EE727"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r w:rsidR="00C01F53" w:rsidRPr="00C01F53" w14:paraId="28461D5C" w14:textId="77777777" w:rsidTr="00C01F53">
        <w:trPr>
          <w:trHeight w:val="300"/>
        </w:trPr>
        <w:tc>
          <w:tcPr>
            <w:tcW w:w="2630" w:type="dxa"/>
            <w:tcBorders>
              <w:top w:val="nil"/>
              <w:left w:val="single" w:sz="8" w:space="0" w:color="auto"/>
              <w:bottom w:val="single" w:sz="4" w:space="0" w:color="auto"/>
              <w:right w:val="nil"/>
            </w:tcBorders>
            <w:shd w:val="clear" w:color="auto" w:fill="auto"/>
            <w:noWrap/>
            <w:vAlign w:val="bottom"/>
            <w:hideMark/>
          </w:tcPr>
          <w:p w14:paraId="094F5C56" w14:textId="77777777"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Poland</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4960B09"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w:t>
            </w:r>
          </w:p>
        </w:tc>
        <w:tc>
          <w:tcPr>
            <w:tcW w:w="59" w:type="dxa"/>
            <w:tcBorders>
              <w:top w:val="nil"/>
              <w:left w:val="nil"/>
              <w:bottom w:val="nil"/>
              <w:right w:val="nil"/>
            </w:tcBorders>
            <w:shd w:val="clear" w:color="auto" w:fill="auto"/>
            <w:noWrap/>
            <w:vAlign w:val="bottom"/>
            <w:hideMark/>
          </w:tcPr>
          <w:p w14:paraId="4B323029"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5F6E7134"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2AF9CFB4" w14:textId="77777777"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Sweden</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CA1F0E0"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36" w:type="dxa"/>
            <w:vAlign w:val="center"/>
            <w:hideMark/>
          </w:tcPr>
          <w:p w14:paraId="7BA29BF6"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r w:rsidR="00C01F53" w:rsidRPr="00C01F53" w14:paraId="59809ACE" w14:textId="77777777" w:rsidTr="00C01F53">
        <w:trPr>
          <w:trHeight w:val="300"/>
        </w:trPr>
        <w:tc>
          <w:tcPr>
            <w:tcW w:w="2630" w:type="dxa"/>
            <w:tcBorders>
              <w:top w:val="nil"/>
              <w:left w:val="single" w:sz="8" w:space="0" w:color="auto"/>
              <w:bottom w:val="single" w:sz="4" w:space="0" w:color="auto"/>
              <w:right w:val="nil"/>
            </w:tcBorders>
            <w:shd w:val="clear" w:color="auto" w:fill="auto"/>
            <w:noWrap/>
            <w:vAlign w:val="bottom"/>
            <w:hideMark/>
          </w:tcPr>
          <w:p w14:paraId="24E128F7" w14:textId="77777777"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Spain</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6CED5DB3"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w:t>
            </w:r>
          </w:p>
        </w:tc>
        <w:tc>
          <w:tcPr>
            <w:tcW w:w="59" w:type="dxa"/>
            <w:tcBorders>
              <w:top w:val="nil"/>
              <w:left w:val="nil"/>
              <w:bottom w:val="nil"/>
              <w:right w:val="nil"/>
            </w:tcBorders>
            <w:shd w:val="clear" w:color="auto" w:fill="auto"/>
            <w:noWrap/>
            <w:vAlign w:val="bottom"/>
            <w:hideMark/>
          </w:tcPr>
          <w:p w14:paraId="6930914A"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0742A811"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23364209" w14:textId="77777777"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Poland</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73900D09"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w:t>
            </w:r>
          </w:p>
        </w:tc>
        <w:tc>
          <w:tcPr>
            <w:tcW w:w="36" w:type="dxa"/>
            <w:vAlign w:val="center"/>
            <w:hideMark/>
          </w:tcPr>
          <w:p w14:paraId="78511431"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r w:rsidR="00C01F53" w:rsidRPr="00C01F53" w14:paraId="5C2DC8F3" w14:textId="77777777" w:rsidTr="00C01F53">
        <w:trPr>
          <w:trHeight w:val="315"/>
        </w:trPr>
        <w:tc>
          <w:tcPr>
            <w:tcW w:w="2630" w:type="dxa"/>
            <w:tcBorders>
              <w:top w:val="nil"/>
              <w:left w:val="single" w:sz="8" w:space="0" w:color="auto"/>
              <w:bottom w:val="single" w:sz="4" w:space="0" w:color="auto"/>
              <w:right w:val="nil"/>
            </w:tcBorders>
            <w:shd w:val="clear" w:color="auto" w:fill="auto"/>
            <w:noWrap/>
            <w:vAlign w:val="bottom"/>
            <w:hideMark/>
          </w:tcPr>
          <w:p w14:paraId="35BFA62E" w14:textId="77777777"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Sweden</w:t>
            </w:r>
          </w:p>
        </w:tc>
        <w:tc>
          <w:tcPr>
            <w:tcW w:w="1371" w:type="dxa"/>
            <w:tcBorders>
              <w:top w:val="nil"/>
              <w:left w:val="single" w:sz="8" w:space="0" w:color="auto"/>
              <w:bottom w:val="nil"/>
              <w:right w:val="single" w:sz="8" w:space="0" w:color="auto"/>
            </w:tcBorders>
            <w:shd w:val="clear" w:color="auto" w:fill="auto"/>
            <w:noWrap/>
            <w:vAlign w:val="bottom"/>
            <w:hideMark/>
          </w:tcPr>
          <w:p w14:paraId="14570848"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59" w:type="dxa"/>
            <w:tcBorders>
              <w:top w:val="nil"/>
              <w:left w:val="nil"/>
              <w:bottom w:val="nil"/>
              <w:right w:val="nil"/>
            </w:tcBorders>
            <w:shd w:val="clear" w:color="auto" w:fill="auto"/>
            <w:noWrap/>
            <w:vAlign w:val="bottom"/>
            <w:hideMark/>
          </w:tcPr>
          <w:p w14:paraId="69E57644"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22F6ECD1"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75E7C6CB" w14:textId="77777777" w:rsidR="00C01F53" w:rsidRPr="00C01F53" w:rsidRDefault="00C01F53" w:rsidP="00C01F53">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Spain</w:t>
            </w:r>
          </w:p>
        </w:tc>
        <w:tc>
          <w:tcPr>
            <w:tcW w:w="1371" w:type="dxa"/>
            <w:tcBorders>
              <w:top w:val="nil"/>
              <w:left w:val="single" w:sz="8" w:space="0" w:color="auto"/>
              <w:bottom w:val="nil"/>
              <w:right w:val="single" w:sz="8" w:space="0" w:color="auto"/>
            </w:tcBorders>
            <w:shd w:val="clear" w:color="auto" w:fill="auto"/>
            <w:noWrap/>
            <w:vAlign w:val="bottom"/>
            <w:hideMark/>
          </w:tcPr>
          <w:p w14:paraId="57C254C7"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w:t>
            </w:r>
          </w:p>
        </w:tc>
        <w:tc>
          <w:tcPr>
            <w:tcW w:w="36" w:type="dxa"/>
            <w:vAlign w:val="center"/>
            <w:hideMark/>
          </w:tcPr>
          <w:p w14:paraId="553B3A06"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r w:rsidR="00C01F53" w:rsidRPr="00C01F53" w14:paraId="2AE47408" w14:textId="77777777" w:rsidTr="00C01F53">
        <w:trPr>
          <w:trHeight w:val="315"/>
        </w:trPr>
        <w:tc>
          <w:tcPr>
            <w:tcW w:w="2630" w:type="dxa"/>
            <w:tcBorders>
              <w:top w:val="nil"/>
              <w:left w:val="nil"/>
              <w:bottom w:val="nil"/>
              <w:right w:val="nil"/>
            </w:tcBorders>
            <w:shd w:val="clear" w:color="auto" w:fill="auto"/>
            <w:noWrap/>
            <w:vAlign w:val="bottom"/>
            <w:hideMark/>
          </w:tcPr>
          <w:p w14:paraId="63830B23"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13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4F1708"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34</w:t>
            </w:r>
          </w:p>
        </w:tc>
        <w:tc>
          <w:tcPr>
            <w:tcW w:w="59" w:type="dxa"/>
            <w:tcBorders>
              <w:top w:val="nil"/>
              <w:left w:val="nil"/>
              <w:bottom w:val="nil"/>
              <w:right w:val="nil"/>
            </w:tcBorders>
            <w:shd w:val="clear" w:color="auto" w:fill="auto"/>
            <w:noWrap/>
            <w:vAlign w:val="bottom"/>
            <w:hideMark/>
          </w:tcPr>
          <w:p w14:paraId="3633552A" w14:textId="77777777" w:rsidR="00C01F53" w:rsidRPr="00C01F53" w:rsidRDefault="00C01F53" w:rsidP="00C01F53">
            <w:pPr>
              <w:spacing w:after="0" w:line="240" w:lineRule="auto"/>
              <w:jc w:val="center"/>
              <w:rPr>
                <w:rFonts w:ascii="Calibri" w:eastAsia="Times New Roman" w:hAnsi="Calibri" w:cs="Calibri"/>
                <w:color w:val="000000"/>
                <w:lang w:eastAsia="fr-BE"/>
              </w:rPr>
            </w:pPr>
          </w:p>
        </w:tc>
        <w:tc>
          <w:tcPr>
            <w:tcW w:w="59" w:type="dxa"/>
            <w:tcBorders>
              <w:top w:val="nil"/>
              <w:left w:val="nil"/>
              <w:bottom w:val="nil"/>
              <w:right w:val="nil"/>
            </w:tcBorders>
            <w:shd w:val="clear" w:color="auto" w:fill="auto"/>
            <w:noWrap/>
            <w:vAlign w:val="bottom"/>
            <w:hideMark/>
          </w:tcPr>
          <w:p w14:paraId="6A56FC21"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2630" w:type="dxa"/>
            <w:tcBorders>
              <w:top w:val="nil"/>
              <w:left w:val="nil"/>
              <w:bottom w:val="nil"/>
              <w:right w:val="nil"/>
            </w:tcBorders>
            <w:shd w:val="clear" w:color="auto" w:fill="auto"/>
            <w:noWrap/>
            <w:vAlign w:val="bottom"/>
            <w:hideMark/>
          </w:tcPr>
          <w:p w14:paraId="26136FF5"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c>
          <w:tcPr>
            <w:tcW w:w="13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BAC80B" w14:textId="77777777" w:rsidR="00C01F53" w:rsidRPr="00C01F53" w:rsidRDefault="00C01F53" w:rsidP="00C01F53">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34</w:t>
            </w:r>
          </w:p>
        </w:tc>
        <w:tc>
          <w:tcPr>
            <w:tcW w:w="36" w:type="dxa"/>
            <w:vAlign w:val="center"/>
            <w:hideMark/>
          </w:tcPr>
          <w:p w14:paraId="6299371E" w14:textId="77777777" w:rsidR="00C01F53" w:rsidRPr="00C01F53" w:rsidRDefault="00C01F53" w:rsidP="00C01F53">
            <w:pPr>
              <w:spacing w:after="0" w:line="240" w:lineRule="auto"/>
              <w:rPr>
                <w:rFonts w:ascii="Times New Roman" w:eastAsia="Times New Roman" w:hAnsi="Times New Roman" w:cs="Times New Roman"/>
                <w:sz w:val="20"/>
                <w:szCs w:val="20"/>
                <w:lang w:eastAsia="fr-BE"/>
              </w:rPr>
            </w:pPr>
          </w:p>
        </w:tc>
      </w:tr>
    </w:tbl>
    <w:p w14:paraId="3D8A92A3" w14:textId="77777777" w:rsidR="00C01F53" w:rsidRDefault="00C01F53" w:rsidP="00D74336">
      <w:pPr>
        <w:rPr>
          <w:lang w:val="nl-BE"/>
        </w:rPr>
      </w:pPr>
    </w:p>
    <w:p w14:paraId="2BF4E9A0" w14:textId="478D02E2" w:rsidR="00745806" w:rsidRPr="00F9601C" w:rsidRDefault="00F9601C" w:rsidP="00D74336">
      <w:pPr>
        <w:rPr>
          <w:lang w:val="en-GB"/>
        </w:rPr>
      </w:pPr>
      <w:r w:rsidRPr="00F9601C">
        <w:rPr>
          <w:lang w:val="en-GB"/>
        </w:rPr>
        <w:t>Of course, throughout the other halls of the Furniture Fair, there are even more manufacturers active in the sleep sector. On 'The Woods' stand in hall 6 you will find a foretaste of their products, with reference to their stand</w:t>
      </w:r>
      <w:r w:rsidR="002D4DA4" w:rsidRPr="00F9601C">
        <w:rPr>
          <w:lang w:val="en-GB"/>
        </w:rPr>
        <w:t>.</w:t>
      </w:r>
    </w:p>
    <w:p w14:paraId="08D1FA09" w14:textId="77777777" w:rsidR="007A02AA" w:rsidRPr="004701F4" w:rsidRDefault="007A02AA" w:rsidP="00D74336">
      <w:pPr>
        <w:rPr>
          <w:lang w:val="en-GB"/>
        </w:rPr>
      </w:pPr>
    </w:p>
    <w:p w14:paraId="57B5FB78" w14:textId="6FC2A636" w:rsidR="00C01F53" w:rsidRPr="006E74AD" w:rsidRDefault="004C0291" w:rsidP="00D74336">
      <w:pPr>
        <w:rPr>
          <w:b/>
          <w:bCs/>
          <w:lang w:val="en-GB"/>
        </w:rPr>
      </w:pPr>
      <w:r w:rsidRPr="006E74AD">
        <w:rPr>
          <w:b/>
          <w:bCs/>
          <w:lang w:val="en-GB"/>
        </w:rPr>
        <w:t>Contract</w:t>
      </w:r>
    </w:p>
    <w:p w14:paraId="59AD7EA9" w14:textId="1EABDA81" w:rsidR="00C90274" w:rsidRPr="00F9601C" w:rsidRDefault="00F9601C" w:rsidP="00C90274">
      <w:pPr>
        <w:rPr>
          <w:lang w:val="en-GB"/>
        </w:rPr>
      </w:pPr>
      <w:r w:rsidRPr="00F9601C">
        <w:rPr>
          <w:lang w:val="en-GB"/>
        </w:rPr>
        <w:t>An important evolution, well known by now, is the increasing focus of manufacturers on the project market. A trend that is also noticeable at the Furniture Fair itself. More and more exhibitors focus on contract specialists and therefore ask that we provide their stand with the Contract label on the hall plan. We counted 65 exhibitors who requested the label this year, a 30% increase compared to the previous edition. We notice a similar trend when we look at visitor profiles. The Furniture Fair receives a larger number of interior designers every year, although their attendance is not yet directly proportional to the increase in contract exhibitors. A signal for us that further work is needed on this opportunity</w:t>
      </w:r>
      <w:r w:rsidR="00442E09" w:rsidRPr="00F9601C">
        <w:rPr>
          <w:lang w:val="en-GB"/>
        </w:rPr>
        <w:t>!</w:t>
      </w:r>
    </w:p>
    <w:p w14:paraId="2C874CFC" w14:textId="2257A7D8" w:rsidR="00442E09" w:rsidRPr="00F9601C" w:rsidRDefault="004701F4" w:rsidP="00D74336">
      <w:pPr>
        <w:rPr>
          <w:b/>
          <w:bCs/>
          <w:lang w:val="en-GB"/>
        </w:rPr>
      </w:pPr>
      <w:r>
        <w:rPr>
          <w:b/>
          <w:bCs/>
          <w:lang w:val="en-GB"/>
        </w:rPr>
        <w:br w:type="page"/>
      </w:r>
      <w:r w:rsidR="00F9601C" w:rsidRPr="00F9601C">
        <w:rPr>
          <w:b/>
          <w:bCs/>
          <w:lang w:val="en-GB"/>
        </w:rPr>
        <w:lastRenderedPageBreak/>
        <w:t>How do we see t</w:t>
      </w:r>
      <w:r w:rsidR="00F9601C">
        <w:rPr>
          <w:b/>
          <w:bCs/>
          <w:lang w:val="en-GB"/>
        </w:rPr>
        <w:t>he Future?</w:t>
      </w:r>
    </w:p>
    <w:p w14:paraId="758FF47C" w14:textId="43AE652D" w:rsidR="002D4DA4" w:rsidRDefault="00F9601C" w:rsidP="002D4DA4">
      <w:pPr>
        <w:rPr>
          <w:lang w:val="en-GB"/>
        </w:rPr>
      </w:pPr>
      <w:r w:rsidRPr="00F9601C">
        <w:rPr>
          <w:lang w:val="en-GB"/>
        </w:rPr>
        <w:t xml:space="preserve">Closing we do again by looking </w:t>
      </w:r>
      <w:r w:rsidR="0060355F">
        <w:rPr>
          <w:lang w:val="en-GB"/>
        </w:rPr>
        <w:t xml:space="preserve">forward </w:t>
      </w:r>
      <w:r w:rsidRPr="00F9601C">
        <w:rPr>
          <w:lang w:val="en-GB"/>
        </w:rPr>
        <w:t>to the future. What to expect for the 2024 Furniture Fair</w:t>
      </w:r>
      <w:r w:rsidR="00442E09" w:rsidRPr="00F9601C">
        <w:rPr>
          <w:lang w:val="en-GB"/>
        </w:rPr>
        <w:t>?</w:t>
      </w:r>
      <w:r w:rsidR="004701F4">
        <w:rPr>
          <w:lang w:val="en-GB"/>
        </w:rPr>
        <w:t xml:space="preserve"> </w:t>
      </w:r>
      <w:r w:rsidRPr="00F9601C">
        <w:rPr>
          <w:lang w:val="en-GB"/>
        </w:rPr>
        <w:t>The next edition of the Furniture Fair will take place from 3 to 6 November 2024. The basics remain unchanged. The Furniture Fair stands for security, efficiency and good business in an atmospheric environment. We also want to further develop the aforementioned opportunities. This is not about growing for growth's sake, but primarily about being an event for all players in our sector, so that the Furniture Fair is experienced by everyone as the day of celebration for furniture professionals</w:t>
      </w:r>
      <w:r w:rsidR="008D09EA" w:rsidRPr="00F9601C">
        <w:rPr>
          <w:lang w:val="en-GB"/>
        </w:rPr>
        <w:t>.</w:t>
      </w:r>
    </w:p>
    <w:p w14:paraId="7518D4B5" w14:textId="77777777" w:rsidR="004701F4" w:rsidRDefault="004701F4" w:rsidP="002D4DA4">
      <w:pPr>
        <w:rPr>
          <w:lang w:val="en-GB"/>
        </w:rPr>
      </w:pPr>
    </w:p>
    <w:p w14:paraId="5CBAB2AF" w14:textId="3D6ED976" w:rsidR="004701F4" w:rsidRPr="00F9601C" w:rsidRDefault="004701F4" w:rsidP="002D4DA4">
      <w:pPr>
        <w:rPr>
          <w:lang w:val="en-GB"/>
        </w:rPr>
      </w:pPr>
      <w:r>
        <w:rPr>
          <w:lang w:val="en-GB"/>
        </w:rPr>
        <w:t>Thank you</w:t>
      </w:r>
      <w:r w:rsidR="00BE23F6">
        <w:rPr>
          <w:lang w:val="en-GB"/>
        </w:rPr>
        <w:t xml:space="preserve"> </w:t>
      </w:r>
      <w:r>
        <w:rPr>
          <w:lang w:val="en-GB"/>
        </w:rPr>
        <w:t>!</w:t>
      </w:r>
    </w:p>
    <w:p w14:paraId="0764251A" w14:textId="77777777" w:rsidR="00D307B5" w:rsidRPr="00F9601C" w:rsidRDefault="00D307B5" w:rsidP="00D307B5">
      <w:pPr>
        <w:rPr>
          <w:lang w:val="en-GB"/>
        </w:rPr>
      </w:pPr>
    </w:p>
    <w:sectPr w:rsidR="00D307B5" w:rsidRPr="00F9601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04D4" w14:textId="77777777" w:rsidR="006D369B" w:rsidRDefault="006D369B" w:rsidP="00E12635">
      <w:pPr>
        <w:spacing w:after="0" w:line="240" w:lineRule="auto"/>
      </w:pPr>
      <w:r>
        <w:separator/>
      </w:r>
    </w:p>
  </w:endnote>
  <w:endnote w:type="continuationSeparator" w:id="0">
    <w:p w14:paraId="68995AC0" w14:textId="77777777" w:rsidR="006D369B" w:rsidRDefault="006D369B" w:rsidP="00E1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panose1 w:val="00000000000000000000"/>
    <w:charset w:val="00"/>
    <w:family w:val="swiss"/>
    <w:notTrueType/>
    <w:pitch w:val="variable"/>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94F7" w14:textId="4EC07B4D" w:rsidR="00E12635" w:rsidRDefault="00E12635" w:rsidP="00E12635">
    <w:pPr>
      <w:pStyle w:val="Footer"/>
      <w:jc w:val="center"/>
    </w:pPr>
    <w:r>
      <w:drawing>
        <wp:inline distT="0" distB="0" distL="0" distR="0" wp14:anchorId="49471F66" wp14:editId="4E2D5F6E">
          <wp:extent cx="834887" cy="431874"/>
          <wp:effectExtent l="0" t="0" r="3810" b="6350"/>
          <wp:docPr id="709022529" name="Picture 1" descr="A black and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022529" name="Picture 1" descr="A black and white sign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4317" cy="4470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278F" w14:textId="77777777" w:rsidR="006D369B" w:rsidRDefault="006D369B" w:rsidP="00E12635">
      <w:pPr>
        <w:spacing w:after="0" w:line="240" w:lineRule="auto"/>
      </w:pPr>
      <w:r>
        <w:separator/>
      </w:r>
    </w:p>
  </w:footnote>
  <w:footnote w:type="continuationSeparator" w:id="0">
    <w:p w14:paraId="5D14AB6A" w14:textId="77777777" w:rsidR="006D369B" w:rsidRDefault="006D369B" w:rsidP="00E12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029FBC"/>
    <w:lvl w:ilvl="0">
      <w:numFmt w:val="decimal"/>
      <w:lvlText w:val="*"/>
      <w:lvlJc w:val="left"/>
    </w:lvl>
  </w:abstractNum>
  <w:abstractNum w:abstractNumId="1" w15:restartNumberingAfterBreak="0">
    <w:nsid w:val="06B201B1"/>
    <w:multiLevelType w:val="hybridMultilevel"/>
    <w:tmpl w:val="EDFA1368"/>
    <w:lvl w:ilvl="0" w:tplc="8218753A">
      <w:start w:val="1000"/>
      <w:numFmt w:val="bullet"/>
      <w:lvlText w:val="-"/>
      <w:lvlJc w:val="left"/>
      <w:pPr>
        <w:ind w:left="720" w:hanging="360"/>
      </w:pPr>
      <w:rPr>
        <w:rFonts w:ascii="Calibri" w:eastAsia="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15:restartNumberingAfterBreak="0">
    <w:nsid w:val="12BE42B2"/>
    <w:multiLevelType w:val="hybridMultilevel"/>
    <w:tmpl w:val="C0A04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BD15BE"/>
    <w:multiLevelType w:val="hybridMultilevel"/>
    <w:tmpl w:val="001ECDA2"/>
    <w:lvl w:ilvl="0" w:tplc="17AA514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254629"/>
    <w:multiLevelType w:val="hybridMultilevel"/>
    <w:tmpl w:val="3C3A0746"/>
    <w:lvl w:ilvl="0" w:tplc="715E9658">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5" w15:restartNumberingAfterBreak="0">
    <w:nsid w:val="25F32229"/>
    <w:multiLevelType w:val="hybridMultilevel"/>
    <w:tmpl w:val="A282CF84"/>
    <w:lvl w:ilvl="0" w:tplc="B7165FE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2DD92BF8"/>
    <w:multiLevelType w:val="hybridMultilevel"/>
    <w:tmpl w:val="B058B518"/>
    <w:lvl w:ilvl="0" w:tplc="2C08AE56">
      <w:start w:val="3191"/>
      <w:numFmt w:val="decimal"/>
      <w:lvlText w:val="%1"/>
      <w:lvlJc w:val="left"/>
      <w:pPr>
        <w:tabs>
          <w:tab w:val="num" w:pos="5655"/>
        </w:tabs>
        <w:ind w:left="5655" w:hanging="555"/>
      </w:pPr>
      <w:rPr>
        <w:rFonts w:hint="default"/>
      </w:rPr>
    </w:lvl>
    <w:lvl w:ilvl="1" w:tplc="04130019" w:tentative="1">
      <w:start w:val="1"/>
      <w:numFmt w:val="lowerLetter"/>
      <w:lvlText w:val="%2."/>
      <w:lvlJc w:val="left"/>
      <w:pPr>
        <w:tabs>
          <w:tab w:val="num" w:pos="6180"/>
        </w:tabs>
        <w:ind w:left="6180" w:hanging="360"/>
      </w:pPr>
    </w:lvl>
    <w:lvl w:ilvl="2" w:tplc="0413001B" w:tentative="1">
      <w:start w:val="1"/>
      <w:numFmt w:val="lowerRoman"/>
      <w:lvlText w:val="%3."/>
      <w:lvlJc w:val="right"/>
      <w:pPr>
        <w:tabs>
          <w:tab w:val="num" w:pos="6900"/>
        </w:tabs>
        <w:ind w:left="6900" w:hanging="180"/>
      </w:pPr>
    </w:lvl>
    <w:lvl w:ilvl="3" w:tplc="0413000F" w:tentative="1">
      <w:start w:val="1"/>
      <w:numFmt w:val="decimal"/>
      <w:lvlText w:val="%4."/>
      <w:lvlJc w:val="left"/>
      <w:pPr>
        <w:tabs>
          <w:tab w:val="num" w:pos="7620"/>
        </w:tabs>
        <w:ind w:left="7620" w:hanging="360"/>
      </w:pPr>
    </w:lvl>
    <w:lvl w:ilvl="4" w:tplc="04130019" w:tentative="1">
      <w:start w:val="1"/>
      <w:numFmt w:val="lowerLetter"/>
      <w:lvlText w:val="%5."/>
      <w:lvlJc w:val="left"/>
      <w:pPr>
        <w:tabs>
          <w:tab w:val="num" w:pos="8340"/>
        </w:tabs>
        <w:ind w:left="8340" w:hanging="360"/>
      </w:pPr>
    </w:lvl>
    <w:lvl w:ilvl="5" w:tplc="0413001B" w:tentative="1">
      <w:start w:val="1"/>
      <w:numFmt w:val="lowerRoman"/>
      <w:lvlText w:val="%6."/>
      <w:lvlJc w:val="right"/>
      <w:pPr>
        <w:tabs>
          <w:tab w:val="num" w:pos="9060"/>
        </w:tabs>
        <w:ind w:left="9060" w:hanging="180"/>
      </w:pPr>
    </w:lvl>
    <w:lvl w:ilvl="6" w:tplc="0413000F" w:tentative="1">
      <w:start w:val="1"/>
      <w:numFmt w:val="decimal"/>
      <w:lvlText w:val="%7."/>
      <w:lvlJc w:val="left"/>
      <w:pPr>
        <w:tabs>
          <w:tab w:val="num" w:pos="9780"/>
        </w:tabs>
        <w:ind w:left="9780" w:hanging="360"/>
      </w:pPr>
    </w:lvl>
    <w:lvl w:ilvl="7" w:tplc="04130019" w:tentative="1">
      <w:start w:val="1"/>
      <w:numFmt w:val="lowerLetter"/>
      <w:lvlText w:val="%8."/>
      <w:lvlJc w:val="left"/>
      <w:pPr>
        <w:tabs>
          <w:tab w:val="num" w:pos="10500"/>
        </w:tabs>
        <w:ind w:left="10500" w:hanging="360"/>
      </w:pPr>
    </w:lvl>
    <w:lvl w:ilvl="8" w:tplc="0413001B" w:tentative="1">
      <w:start w:val="1"/>
      <w:numFmt w:val="lowerRoman"/>
      <w:lvlText w:val="%9."/>
      <w:lvlJc w:val="right"/>
      <w:pPr>
        <w:tabs>
          <w:tab w:val="num" w:pos="11220"/>
        </w:tabs>
        <w:ind w:left="11220" w:hanging="180"/>
      </w:pPr>
    </w:lvl>
  </w:abstractNum>
  <w:abstractNum w:abstractNumId="7" w15:restartNumberingAfterBreak="0">
    <w:nsid w:val="34F965C0"/>
    <w:multiLevelType w:val="hybridMultilevel"/>
    <w:tmpl w:val="84FACF5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3A214C49"/>
    <w:multiLevelType w:val="hybridMultilevel"/>
    <w:tmpl w:val="D68C707E"/>
    <w:lvl w:ilvl="0" w:tplc="CE38C85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A91568"/>
    <w:multiLevelType w:val="hybridMultilevel"/>
    <w:tmpl w:val="B128E5BE"/>
    <w:lvl w:ilvl="0" w:tplc="71101568">
      <w:start w:val="10"/>
      <w:numFmt w:val="bullet"/>
      <w:lvlText w:val="-"/>
      <w:lvlJc w:val="left"/>
      <w:pPr>
        <w:ind w:left="720" w:hanging="360"/>
      </w:pPr>
      <w:rPr>
        <w:rFonts w:ascii="Myriad Web Pro" w:eastAsia="Times New Roman" w:hAnsi="Myriad Web Pr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F96A79"/>
    <w:multiLevelType w:val="hybridMultilevel"/>
    <w:tmpl w:val="725494DE"/>
    <w:lvl w:ilvl="0" w:tplc="F9A4AFF2">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1" w15:restartNumberingAfterBreak="0">
    <w:nsid w:val="4271267B"/>
    <w:multiLevelType w:val="hybridMultilevel"/>
    <w:tmpl w:val="97E6CA8A"/>
    <w:lvl w:ilvl="0" w:tplc="A4A86E8E">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2D23F08"/>
    <w:multiLevelType w:val="hybridMultilevel"/>
    <w:tmpl w:val="9FD64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B72E8E"/>
    <w:multiLevelType w:val="hybridMultilevel"/>
    <w:tmpl w:val="90D23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64F7BF7"/>
    <w:multiLevelType w:val="hybridMultilevel"/>
    <w:tmpl w:val="A1CC8CA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EA72407"/>
    <w:multiLevelType w:val="hybridMultilevel"/>
    <w:tmpl w:val="FE6AAD18"/>
    <w:lvl w:ilvl="0" w:tplc="43B83A24">
      <w:numFmt w:val="bullet"/>
      <w:lvlText w:val="-"/>
      <w:lvlJc w:val="left"/>
      <w:pPr>
        <w:ind w:left="720" w:hanging="360"/>
      </w:pPr>
      <w:rPr>
        <w:rFonts w:ascii="Myriad Pro" w:eastAsia="Times New Roman" w:hAnsi="Myriad Pro" w:cs="Lucida Sans Unicod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E504FA"/>
    <w:multiLevelType w:val="hybridMultilevel"/>
    <w:tmpl w:val="1B6072EA"/>
    <w:lvl w:ilvl="0" w:tplc="64881258">
      <w:start w:val="1"/>
      <w:numFmt w:val="bullet"/>
      <w:lvlText w:val=""/>
      <w:lvlJc w:val="left"/>
      <w:pPr>
        <w:tabs>
          <w:tab w:val="num" w:pos="567"/>
        </w:tabs>
        <w:ind w:left="567" w:hanging="567"/>
      </w:pPr>
      <w:rPr>
        <w:rFonts w:ascii="Wingdings 3" w:hAnsi="Wingdings 3"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FE688F"/>
    <w:multiLevelType w:val="hybridMultilevel"/>
    <w:tmpl w:val="3A8A28D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0DF1E61"/>
    <w:multiLevelType w:val="hybridMultilevel"/>
    <w:tmpl w:val="3C724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701997"/>
    <w:multiLevelType w:val="hybridMultilevel"/>
    <w:tmpl w:val="16F40BCE"/>
    <w:lvl w:ilvl="0" w:tplc="04F8E558">
      <w:start w:val="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0831E82"/>
    <w:multiLevelType w:val="multilevel"/>
    <w:tmpl w:val="397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81CA1"/>
    <w:multiLevelType w:val="hybridMultilevel"/>
    <w:tmpl w:val="FF0276AC"/>
    <w:lvl w:ilvl="0" w:tplc="FC38A93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113477733">
    <w:abstractNumId w:val="21"/>
  </w:num>
  <w:num w:numId="2" w16cid:durableId="997151719">
    <w:abstractNumId w:val="3"/>
  </w:num>
  <w:num w:numId="3" w16cid:durableId="604967515">
    <w:abstractNumId w:val="14"/>
  </w:num>
  <w:num w:numId="4" w16cid:durableId="1336835506">
    <w:abstractNumId w:val="8"/>
  </w:num>
  <w:num w:numId="5" w16cid:durableId="1559902926">
    <w:abstractNumId w:val="4"/>
  </w:num>
  <w:num w:numId="6" w16cid:durableId="1203637845">
    <w:abstractNumId w:val="10"/>
  </w:num>
  <w:num w:numId="7" w16cid:durableId="1659261807">
    <w:abstractNumId w:val="17"/>
  </w:num>
  <w:num w:numId="8" w16cid:durableId="304314941">
    <w:abstractNumId w:val="0"/>
    <w:lvlOverride w:ilvl="0">
      <w:lvl w:ilvl="0">
        <w:numFmt w:val="bullet"/>
        <w:lvlText w:val=""/>
        <w:legacy w:legacy="1" w:legacySpace="0" w:legacyIndent="0"/>
        <w:lvlJc w:val="left"/>
        <w:rPr>
          <w:rFonts w:ascii="Symbol" w:hAnsi="Symbol" w:hint="default"/>
        </w:rPr>
      </w:lvl>
    </w:lvlOverride>
  </w:num>
  <w:num w:numId="9" w16cid:durableId="1920403283">
    <w:abstractNumId w:val="11"/>
  </w:num>
  <w:num w:numId="10" w16cid:durableId="1287739079">
    <w:abstractNumId w:val="6"/>
  </w:num>
  <w:num w:numId="11" w16cid:durableId="414908705">
    <w:abstractNumId w:val="15"/>
  </w:num>
  <w:num w:numId="12" w16cid:durableId="17595997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861497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9031011">
    <w:abstractNumId w:val="12"/>
  </w:num>
  <w:num w:numId="15" w16cid:durableId="436799008">
    <w:abstractNumId w:val="1"/>
  </w:num>
  <w:num w:numId="16" w16cid:durableId="1233783208">
    <w:abstractNumId w:val="13"/>
  </w:num>
  <w:num w:numId="17" w16cid:durableId="606425133">
    <w:abstractNumId w:val="5"/>
  </w:num>
  <w:num w:numId="18" w16cid:durableId="221796948">
    <w:abstractNumId w:val="20"/>
  </w:num>
  <w:num w:numId="19" w16cid:durableId="226306303">
    <w:abstractNumId w:val="16"/>
  </w:num>
  <w:num w:numId="20" w16cid:durableId="1658918100">
    <w:abstractNumId w:val="9"/>
  </w:num>
  <w:num w:numId="21" w16cid:durableId="330720570">
    <w:abstractNumId w:val="19"/>
  </w:num>
  <w:num w:numId="22" w16cid:durableId="1577936788">
    <w:abstractNumId w:val="18"/>
  </w:num>
  <w:num w:numId="23" w16cid:durableId="2042128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68"/>
    <w:rsid w:val="00010671"/>
    <w:rsid w:val="000155A0"/>
    <w:rsid w:val="000251C4"/>
    <w:rsid w:val="00047CD9"/>
    <w:rsid w:val="0005079B"/>
    <w:rsid w:val="00071E39"/>
    <w:rsid w:val="00086CB1"/>
    <w:rsid w:val="000A1FC5"/>
    <w:rsid w:val="000A79BE"/>
    <w:rsid w:val="000D49F0"/>
    <w:rsid w:val="000E1BE7"/>
    <w:rsid w:val="000F3893"/>
    <w:rsid w:val="00125603"/>
    <w:rsid w:val="001B3117"/>
    <w:rsid w:val="001C4AC1"/>
    <w:rsid w:val="001C65CA"/>
    <w:rsid w:val="001D01B4"/>
    <w:rsid w:val="001D3A48"/>
    <w:rsid w:val="001E37E4"/>
    <w:rsid w:val="002171E9"/>
    <w:rsid w:val="0026302B"/>
    <w:rsid w:val="00277A88"/>
    <w:rsid w:val="002D4DA4"/>
    <w:rsid w:val="002E7FA9"/>
    <w:rsid w:val="002F17E2"/>
    <w:rsid w:val="00302434"/>
    <w:rsid w:val="0030729D"/>
    <w:rsid w:val="00385AB2"/>
    <w:rsid w:val="003A0AEE"/>
    <w:rsid w:val="003B333F"/>
    <w:rsid w:val="003B5D8E"/>
    <w:rsid w:val="003D0C26"/>
    <w:rsid w:val="003D1838"/>
    <w:rsid w:val="003E0F85"/>
    <w:rsid w:val="00410B88"/>
    <w:rsid w:val="00413F29"/>
    <w:rsid w:val="00442E09"/>
    <w:rsid w:val="00462910"/>
    <w:rsid w:val="004701F4"/>
    <w:rsid w:val="00470A0C"/>
    <w:rsid w:val="00493444"/>
    <w:rsid w:val="004C0291"/>
    <w:rsid w:val="004C317A"/>
    <w:rsid w:val="004D34EB"/>
    <w:rsid w:val="004D7E35"/>
    <w:rsid w:val="004E3E78"/>
    <w:rsid w:val="004F4F04"/>
    <w:rsid w:val="005008A7"/>
    <w:rsid w:val="00572348"/>
    <w:rsid w:val="005C76FE"/>
    <w:rsid w:val="00600B92"/>
    <w:rsid w:val="0060355F"/>
    <w:rsid w:val="00605668"/>
    <w:rsid w:val="00605E6A"/>
    <w:rsid w:val="00616108"/>
    <w:rsid w:val="00621410"/>
    <w:rsid w:val="006269C5"/>
    <w:rsid w:val="00650451"/>
    <w:rsid w:val="00651124"/>
    <w:rsid w:val="00655AAD"/>
    <w:rsid w:val="00664FC3"/>
    <w:rsid w:val="006774C3"/>
    <w:rsid w:val="006B30F9"/>
    <w:rsid w:val="006C5103"/>
    <w:rsid w:val="006D369B"/>
    <w:rsid w:val="006E74AD"/>
    <w:rsid w:val="006F63AC"/>
    <w:rsid w:val="00712D83"/>
    <w:rsid w:val="00725053"/>
    <w:rsid w:val="00745806"/>
    <w:rsid w:val="00751D20"/>
    <w:rsid w:val="00763CAF"/>
    <w:rsid w:val="0076479C"/>
    <w:rsid w:val="00773EE1"/>
    <w:rsid w:val="00776A4E"/>
    <w:rsid w:val="00780B0C"/>
    <w:rsid w:val="007A02AA"/>
    <w:rsid w:val="007E1EC7"/>
    <w:rsid w:val="007F2585"/>
    <w:rsid w:val="00814486"/>
    <w:rsid w:val="00825B30"/>
    <w:rsid w:val="008551E4"/>
    <w:rsid w:val="00867EA7"/>
    <w:rsid w:val="008852C0"/>
    <w:rsid w:val="008A0933"/>
    <w:rsid w:val="008A623B"/>
    <w:rsid w:val="008B0A34"/>
    <w:rsid w:val="008D09EA"/>
    <w:rsid w:val="00905707"/>
    <w:rsid w:val="009C7492"/>
    <w:rsid w:val="009D04C3"/>
    <w:rsid w:val="009D18DE"/>
    <w:rsid w:val="00A63556"/>
    <w:rsid w:val="00B01140"/>
    <w:rsid w:val="00B11806"/>
    <w:rsid w:val="00B24A41"/>
    <w:rsid w:val="00B33B83"/>
    <w:rsid w:val="00B34ED7"/>
    <w:rsid w:val="00B633EE"/>
    <w:rsid w:val="00B73AA3"/>
    <w:rsid w:val="00B96F9C"/>
    <w:rsid w:val="00BB4AED"/>
    <w:rsid w:val="00BE23F6"/>
    <w:rsid w:val="00C01F53"/>
    <w:rsid w:val="00C90274"/>
    <w:rsid w:val="00CF76AD"/>
    <w:rsid w:val="00D00BAF"/>
    <w:rsid w:val="00D078F4"/>
    <w:rsid w:val="00D10EE1"/>
    <w:rsid w:val="00D307B5"/>
    <w:rsid w:val="00D31A37"/>
    <w:rsid w:val="00D614FC"/>
    <w:rsid w:val="00D74336"/>
    <w:rsid w:val="00DE4AD4"/>
    <w:rsid w:val="00E12635"/>
    <w:rsid w:val="00E4208A"/>
    <w:rsid w:val="00E76BF5"/>
    <w:rsid w:val="00E85309"/>
    <w:rsid w:val="00E8588A"/>
    <w:rsid w:val="00E96547"/>
    <w:rsid w:val="00EB4C43"/>
    <w:rsid w:val="00EC6B85"/>
    <w:rsid w:val="00EE32DD"/>
    <w:rsid w:val="00F041A4"/>
    <w:rsid w:val="00F334C3"/>
    <w:rsid w:val="00F40DFC"/>
    <w:rsid w:val="00F705B3"/>
    <w:rsid w:val="00F82771"/>
    <w:rsid w:val="00F92C72"/>
    <w:rsid w:val="00F9601C"/>
    <w:rsid w:val="00FC1AB1"/>
    <w:rsid w:val="00FC43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C3DE8"/>
  <w15:chartTrackingRefBased/>
  <w15:docId w15:val="{79CDB6F5-7E6C-44D2-B284-397BB108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701F4"/>
    <w:pPr>
      <w:keepNext/>
      <w:tabs>
        <w:tab w:val="left" w:pos="3884"/>
      </w:tabs>
      <w:overflowPunct w:val="0"/>
      <w:autoSpaceDE w:val="0"/>
      <w:autoSpaceDN w:val="0"/>
      <w:adjustRightInd w:val="0"/>
      <w:spacing w:after="0" w:line="240" w:lineRule="auto"/>
      <w:ind w:right="28"/>
      <w:textAlignment w:val="baseline"/>
      <w:outlineLvl w:val="0"/>
    </w:pPr>
    <w:rPr>
      <w:rFonts w:ascii="Calisto MT" w:eastAsia="Times New Roman" w:hAnsi="Calisto MT" w:cs="Lucida Sans Unicode"/>
      <w:i/>
      <w:iCs/>
      <w:noProof/>
      <w:sz w:val="18"/>
      <w:szCs w:val="20"/>
      <w:lang w:val="en-GB" w:eastAsia="nl-NL"/>
    </w:rPr>
  </w:style>
  <w:style w:type="paragraph" w:styleId="Heading2">
    <w:name w:val="heading 2"/>
    <w:basedOn w:val="Normal"/>
    <w:next w:val="Normal"/>
    <w:link w:val="Heading2Char"/>
    <w:uiPriority w:val="99"/>
    <w:qFormat/>
    <w:rsid w:val="004701F4"/>
    <w:pPr>
      <w:keepNext/>
      <w:tabs>
        <w:tab w:val="left" w:pos="4678"/>
      </w:tabs>
      <w:overflowPunct w:val="0"/>
      <w:autoSpaceDE w:val="0"/>
      <w:autoSpaceDN w:val="0"/>
      <w:adjustRightInd w:val="0"/>
      <w:spacing w:after="0" w:line="240" w:lineRule="auto"/>
      <w:jc w:val="both"/>
      <w:textAlignment w:val="baseline"/>
      <w:outlineLvl w:val="1"/>
    </w:pPr>
    <w:rPr>
      <w:rFonts w:ascii="Univers" w:eastAsia="Times New Roman" w:hAnsi="Univers" w:cs="Times New Roman"/>
      <w:noProof/>
      <w:sz w:val="24"/>
      <w:szCs w:val="20"/>
      <w:lang w:val="en-GB" w:eastAsia="nl-NL"/>
    </w:rPr>
  </w:style>
  <w:style w:type="paragraph" w:styleId="Heading3">
    <w:name w:val="heading 3"/>
    <w:basedOn w:val="Normal"/>
    <w:next w:val="Normal"/>
    <w:link w:val="Heading3Char"/>
    <w:uiPriority w:val="99"/>
    <w:qFormat/>
    <w:rsid w:val="004701F4"/>
    <w:pPr>
      <w:keepNext/>
      <w:overflowPunct w:val="0"/>
      <w:autoSpaceDE w:val="0"/>
      <w:autoSpaceDN w:val="0"/>
      <w:adjustRightInd w:val="0"/>
      <w:spacing w:after="0" w:line="240" w:lineRule="auto"/>
      <w:ind w:right="28"/>
      <w:textAlignment w:val="baseline"/>
      <w:outlineLvl w:val="2"/>
    </w:pPr>
    <w:rPr>
      <w:rFonts w:ascii="Univers" w:eastAsia="Times New Roman" w:hAnsi="Univers" w:cs="Lucida Sans Unicode"/>
      <w:b/>
      <w:bCs/>
      <w:noProof/>
      <w:szCs w:val="20"/>
      <w:lang w:val="en-GB" w:eastAsia="nl-NL"/>
    </w:rPr>
  </w:style>
  <w:style w:type="paragraph" w:styleId="Heading4">
    <w:name w:val="heading 4"/>
    <w:basedOn w:val="Normal"/>
    <w:next w:val="Normal"/>
    <w:link w:val="Heading4Char"/>
    <w:uiPriority w:val="99"/>
    <w:qFormat/>
    <w:rsid w:val="004701F4"/>
    <w:pPr>
      <w:keepNext/>
      <w:overflowPunct w:val="0"/>
      <w:autoSpaceDE w:val="0"/>
      <w:autoSpaceDN w:val="0"/>
      <w:adjustRightInd w:val="0"/>
      <w:spacing w:after="0" w:line="240" w:lineRule="auto"/>
      <w:ind w:right="28"/>
      <w:textAlignment w:val="baseline"/>
      <w:outlineLvl w:val="3"/>
    </w:pPr>
    <w:rPr>
      <w:rFonts w:ascii="Univers" w:eastAsia="Times New Roman" w:hAnsi="Univers" w:cs="Lucida Sans Unicode"/>
      <w:noProof/>
      <w:szCs w:val="20"/>
      <w:u w:val="single"/>
      <w:lang w:val="en-GB" w:eastAsia="nl-NL"/>
    </w:rPr>
  </w:style>
  <w:style w:type="paragraph" w:styleId="Heading5">
    <w:name w:val="heading 5"/>
    <w:basedOn w:val="Normal"/>
    <w:next w:val="Normal"/>
    <w:link w:val="Heading5Char"/>
    <w:uiPriority w:val="99"/>
    <w:qFormat/>
    <w:rsid w:val="004701F4"/>
    <w:pPr>
      <w:keepNext/>
      <w:overflowPunct w:val="0"/>
      <w:autoSpaceDE w:val="0"/>
      <w:autoSpaceDN w:val="0"/>
      <w:adjustRightInd w:val="0"/>
      <w:spacing w:after="0" w:line="240" w:lineRule="auto"/>
      <w:ind w:right="-540"/>
      <w:textAlignment w:val="baseline"/>
      <w:outlineLvl w:val="4"/>
    </w:pPr>
    <w:rPr>
      <w:rFonts w:ascii="Univers" w:eastAsia="Times New Roman" w:hAnsi="Univers" w:cs="Times New Roman"/>
      <w:i/>
      <w:noProof/>
      <w:color w:val="0E0059"/>
      <w:szCs w:val="20"/>
      <w:lang w:val="en-GB" w:eastAsia="nl-NL"/>
    </w:rPr>
  </w:style>
  <w:style w:type="paragraph" w:styleId="Heading6">
    <w:name w:val="heading 6"/>
    <w:basedOn w:val="Normal"/>
    <w:next w:val="Normal"/>
    <w:link w:val="Heading6Char"/>
    <w:uiPriority w:val="99"/>
    <w:qFormat/>
    <w:rsid w:val="004701F4"/>
    <w:pPr>
      <w:keepNext/>
      <w:overflowPunct w:val="0"/>
      <w:autoSpaceDE w:val="0"/>
      <w:autoSpaceDN w:val="0"/>
      <w:adjustRightInd w:val="0"/>
      <w:spacing w:after="0" w:line="240" w:lineRule="auto"/>
      <w:ind w:right="28"/>
      <w:textAlignment w:val="baseline"/>
      <w:outlineLvl w:val="5"/>
    </w:pPr>
    <w:rPr>
      <w:rFonts w:ascii="Myriad Pro" w:eastAsia="Times New Roman" w:hAnsi="Myriad Pro" w:cs="Times New Roman"/>
      <w:noProof/>
      <w:sz w:val="40"/>
      <w:szCs w:val="20"/>
      <w:lang w:val="en-GB" w:eastAsia="nl-NL"/>
    </w:rPr>
  </w:style>
  <w:style w:type="paragraph" w:styleId="Heading7">
    <w:name w:val="heading 7"/>
    <w:basedOn w:val="Normal"/>
    <w:next w:val="Normal"/>
    <w:link w:val="Heading7Char"/>
    <w:uiPriority w:val="99"/>
    <w:unhideWhenUsed/>
    <w:qFormat/>
    <w:rsid w:val="004701F4"/>
    <w:pPr>
      <w:keepNext/>
      <w:keepLines/>
      <w:overflowPunct w:val="0"/>
      <w:autoSpaceDE w:val="0"/>
      <w:autoSpaceDN w:val="0"/>
      <w:adjustRightInd w:val="0"/>
      <w:spacing w:before="40" w:after="0" w:line="240" w:lineRule="auto"/>
      <w:textAlignment w:val="baseline"/>
      <w:outlineLvl w:val="6"/>
    </w:pPr>
    <w:rPr>
      <w:rFonts w:asciiTheme="majorHAnsi" w:eastAsiaTheme="majorEastAsia" w:hAnsiTheme="majorHAnsi" w:cstheme="majorBidi"/>
      <w:i/>
      <w:iCs/>
      <w:noProof/>
      <w:color w:val="1F3763" w:themeColor="accent1" w:themeShade="7F"/>
      <w:sz w:val="20"/>
      <w:szCs w:val="20"/>
      <w:lang w:val="en-GB" w:eastAsia="nl-NL"/>
    </w:rPr>
  </w:style>
  <w:style w:type="paragraph" w:styleId="Heading8">
    <w:name w:val="heading 8"/>
    <w:basedOn w:val="Normal"/>
    <w:next w:val="Normal"/>
    <w:link w:val="Heading8Char"/>
    <w:uiPriority w:val="99"/>
    <w:qFormat/>
    <w:rsid w:val="004701F4"/>
    <w:pPr>
      <w:keepNext/>
      <w:tabs>
        <w:tab w:val="left" w:pos="-828"/>
        <w:tab w:val="left" w:pos="4253"/>
      </w:tabs>
      <w:suppressAutoHyphens/>
      <w:overflowPunct w:val="0"/>
      <w:autoSpaceDE w:val="0"/>
      <w:autoSpaceDN w:val="0"/>
      <w:adjustRightInd w:val="0"/>
      <w:spacing w:after="0" w:line="240" w:lineRule="auto"/>
      <w:jc w:val="both"/>
      <w:textAlignment w:val="baseline"/>
      <w:outlineLvl w:val="7"/>
    </w:pPr>
    <w:rPr>
      <w:rFonts w:ascii="Myriad Pro" w:eastAsia="Times New Roman" w:hAnsi="Myriad Pro" w:cs="Times New Roman"/>
      <w:b/>
      <w:bCs/>
      <w:i/>
      <w:iCs/>
      <w:spacing w:val="-3"/>
      <w:szCs w:val="20"/>
      <w:lang w:val="en-GB" w:eastAsia="nl-NL"/>
    </w:rPr>
  </w:style>
  <w:style w:type="paragraph" w:styleId="Heading9">
    <w:name w:val="heading 9"/>
    <w:basedOn w:val="Normal"/>
    <w:next w:val="Normal"/>
    <w:link w:val="Heading9Char"/>
    <w:uiPriority w:val="99"/>
    <w:qFormat/>
    <w:rsid w:val="004701F4"/>
    <w:pPr>
      <w:keepNext/>
      <w:overflowPunct w:val="0"/>
      <w:autoSpaceDE w:val="0"/>
      <w:autoSpaceDN w:val="0"/>
      <w:adjustRightInd w:val="0"/>
      <w:spacing w:after="0" w:line="240" w:lineRule="auto"/>
      <w:jc w:val="center"/>
      <w:textAlignment w:val="baseline"/>
      <w:outlineLvl w:val="8"/>
    </w:pPr>
    <w:rPr>
      <w:rFonts w:ascii="Myriad Pro" w:eastAsia="Times New Roman" w:hAnsi="Myriad Pro" w:cs="Times New Roman"/>
      <w:sz w:val="24"/>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51"/>
    <w:pPr>
      <w:ind w:left="720"/>
      <w:contextualSpacing/>
    </w:pPr>
  </w:style>
  <w:style w:type="character" w:customStyle="1" w:styleId="Heading1Char">
    <w:name w:val="Heading 1 Char"/>
    <w:basedOn w:val="DefaultParagraphFont"/>
    <w:link w:val="Heading1"/>
    <w:uiPriority w:val="99"/>
    <w:rsid w:val="004701F4"/>
    <w:rPr>
      <w:rFonts w:ascii="Calisto MT" w:eastAsia="Times New Roman" w:hAnsi="Calisto MT" w:cs="Lucida Sans Unicode"/>
      <w:i/>
      <w:iCs/>
      <w:noProof/>
      <w:sz w:val="18"/>
      <w:szCs w:val="20"/>
      <w:lang w:val="en-GB" w:eastAsia="nl-NL"/>
    </w:rPr>
  </w:style>
  <w:style w:type="character" w:customStyle="1" w:styleId="Heading2Char">
    <w:name w:val="Heading 2 Char"/>
    <w:basedOn w:val="DefaultParagraphFont"/>
    <w:link w:val="Heading2"/>
    <w:uiPriority w:val="99"/>
    <w:rsid w:val="004701F4"/>
    <w:rPr>
      <w:rFonts w:ascii="Univers" w:eastAsia="Times New Roman" w:hAnsi="Univers" w:cs="Times New Roman"/>
      <w:noProof/>
      <w:sz w:val="24"/>
      <w:szCs w:val="20"/>
      <w:lang w:val="en-GB" w:eastAsia="nl-NL"/>
    </w:rPr>
  </w:style>
  <w:style w:type="character" w:customStyle="1" w:styleId="Heading3Char">
    <w:name w:val="Heading 3 Char"/>
    <w:basedOn w:val="DefaultParagraphFont"/>
    <w:link w:val="Heading3"/>
    <w:uiPriority w:val="99"/>
    <w:rsid w:val="004701F4"/>
    <w:rPr>
      <w:rFonts w:ascii="Univers" w:eastAsia="Times New Roman" w:hAnsi="Univers" w:cs="Lucida Sans Unicode"/>
      <w:b/>
      <w:bCs/>
      <w:noProof/>
      <w:szCs w:val="20"/>
      <w:lang w:val="en-GB" w:eastAsia="nl-NL"/>
    </w:rPr>
  </w:style>
  <w:style w:type="character" w:customStyle="1" w:styleId="Heading4Char">
    <w:name w:val="Heading 4 Char"/>
    <w:basedOn w:val="DefaultParagraphFont"/>
    <w:link w:val="Heading4"/>
    <w:uiPriority w:val="99"/>
    <w:rsid w:val="004701F4"/>
    <w:rPr>
      <w:rFonts w:ascii="Univers" w:eastAsia="Times New Roman" w:hAnsi="Univers" w:cs="Lucida Sans Unicode"/>
      <w:noProof/>
      <w:szCs w:val="20"/>
      <w:u w:val="single"/>
      <w:lang w:val="en-GB" w:eastAsia="nl-NL"/>
    </w:rPr>
  </w:style>
  <w:style w:type="character" w:customStyle="1" w:styleId="Heading5Char">
    <w:name w:val="Heading 5 Char"/>
    <w:basedOn w:val="DefaultParagraphFont"/>
    <w:link w:val="Heading5"/>
    <w:uiPriority w:val="99"/>
    <w:rsid w:val="004701F4"/>
    <w:rPr>
      <w:rFonts w:ascii="Univers" w:eastAsia="Times New Roman" w:hAnsi="Univers" w:cs="Times New Roman"/>
      <w:i/>
      <w:noProof/>
      <w:color w:val="0E0059"/>
      <w:szCs w:val="20"/>
      <w:lang w:val="en-GB" w:eastAsia="nl-NL"/>
    </w:rPr>
  </w:style>
  <w:style w:type="character" w:customStyle="1" w:styleId="Heading6Char">
    <w:name w:val="Heading 6 Char"/>
    <w:basedOn w:val="DefaultParagraphFont"/>
    <w:link w:val="Heading6"/>
    <w:uiPriority w:val="99"/>
    <w:rsid w:val="004701F4"/>
    <w:rPr>
      <w:rFonts w:ascii="Myriad Pro" w:eastAsia="Times New Roman" w:hAnsi="Myriad Pro" w:cs="Times New Roman"/>
      <w:noProof/>
      <w:sz w:val="40"/>
      <w:szCs w:val="20"/>
      <w:lang w:val="en-GB" w:eastAsia="nl-NL"/>
    </w:rPr>
  </w:style>
  <w:style w:type="character" w:customStyle="1" w:styleId="Heading7Char">
    <w:name w:val="Heading 7 Char"/>
    <w:basedOn w:val="DefaultParagraphFont"/>
    <w:link w:val="Heading7"/>
    <w:uiPriority w:val="99"/>
    <w:rsid w:val="004701F4"/>
    <w:rPr>
      <w:rFonts w:asciiTheme="majorHAnsi" w:eastAsiaTheme="majorEastAsia" w:hAnsiTheme="majorHAnsi" w:cstheme="majorBidi"/>
      <w:i/>
      <w:iCs/>
      <w:noProof/>
      <w:color w:val="1F3763" w:themeColor="accent1" w:themeShade="7F"/>
      <w:sz w:val="20"/>
      <w:szCs w:val="20"/>
      <w:lang w:val="en-GB" w:eastAsia="nl-NL"/>
    </w:rPr>
  </w:style>
  <w:style w:type="character" w:customStyle="1" w:styleId="Heading8Char">
    <w:name w:val="Heading 8 Char"/>
    <w:basedOn w:val="DefaultParagraphFont"/>
    <w:link w:val="Heading8"/>
    <w:uiPriority w:val="99"/>
    <w:rsid w:val="004701F4"/>
    <w:rPr>
      <w:rFonts w:ascii="Myriad Pro" w:eastAsia="Times New Roman" w:hAnsi="Myriad Pro" w:cs="Times New Roman"/>
      <w:b/>
      <w:bCs/>
      <w:i/>
      <w:iCs/>
      <w:spacing w:val="-3"/>
      <w:szCs w:val="20"/>
      <w:lang w:val="en-GB" w:eastAsia="nl-NL"/>
    </w:rPr>
  </w:style>
  <w:style w:type="character" w:customStyle="1" w:styleId="Heading9Char">
    <w:name w:val="Heading 9 Char"/>
    <w:basedOn w:val="DefaultParagraphFont"/>
    <w:link w:val="Heading9"/>
    <w:uiPriority w:val="99"/>
    <w:rsid w:val="004701F4"/>
    <w:rPr>
      <w:rFonts w:ascii="Myriad Pro" w:eastAsia="Times New Roman" w:hAnsi="Myriad Pro" w:cs="Times New Roman"/>
      <w:sz w:val="24"/>
      <w:szCs w:val="20"/>
      <w:lang w:val="en-GB" w:eastAsia="nl-NL"/>
    </w:rPr>
  </w:style>
  <w:style w:type="paragraph" w:styleId="Header">
    <w:name w:val="header"/>
    <w:basedOn w:val="Normal"/>
    <w:link w:val="HeaderChar"/>
    <w:uiPriority w:val="99"/>
    <w:rsid w:val="004701F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GB" w:eastAsia="nl-NL"/>
    </w:rPr>
  </w:style>
  <w:style w:type="character" w:customStyle="1" w:styleId="HeaderChar">
    <w:name w:val="Header Char"/>
    <w:basedOn w:val="DefaultParagraphFont"/>
    <w:link w:val="Header"/>
    <w:uiPriority w:val="99"/>
    <w:rsid w:val="004701F4"/>
    <w:rPr>
      <w:rFonts w:ascii="Times New Roman" w:eastAsia="Times New Roman" w:hAnsi="Times New Roman" w:cs="Times New Roman"/>
      <w:noProof/>
      <w:sz w:val="20"/>
      <w:szCs w:val="20"/>
      <w:lang w:val="en-GB" w:eastAsia="nl-NL"/>
    </w:rPr>
  </w:style>
  <w:style w:type="paragraph" w:styleId="Footer">
    <w:name w:val="footer"/>
    <w:basedOn w:val="Normal"/>
    <w:link w:val="FooterChar"/>
    <w:uiPriority w:val="99"/>
    <w:rsid w:val="004701F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GB" w:eastAsia="nl-NL"/>
    </w:rPr>
  </w:style>
  <w:style w:type="character" w:customStyle="1" w:styleId="FooterChar">
    <w:name w:val="Footer Char"/>
    <w:basedOn w:val="DefaultParagraphFont"/>
    <w:link w:val="Footer"/>
    <w:uiPriority w:val="99"/>
    <w:rsid w:val="004701F4"/>
    <w:rPr>
      <w:rFonts w:ascii="Times New Roman" w:eastAsia="Times New Roman" w:hAnsi="Times New Roman" w:cs="Times New Roman"/>
      <w:noProof/>
      <w:sz w:val="20"/>
      <w:szCs w:val="20"/>
      <w:lang w:val="en-GB" w:eastAsia="nl-NL"/>
    </w:rPr>
  </w:style>
  <w:style w:type="paragraph" w:styleId="BodyText">
    <w:name w:val="Body Text"/>
    <w:basedOn w:val="Normal"/>
    <w:link w:val="BodyTextChar"/>
    <w:uiPriority w:val="99"/>
    <w:rsid w:val="004701F4"/>
    <w:pPr>
      <w:tabs>
        <w:tab w:val="left" w:pos="3884"/>
      </w:tabs>
      <w:overflowPunct w:val="0"/>
      <w:autoSpaceDE w:val="0"/>
      <w:autoSpaceDN w:val="0"/>
      <w:adjustRightInd w:val="0"/>
      <w:spacing w:after="0" w:line="240" w:lineRule="auto"/>
      <w:ind w:right="28"/>
      <w:jc w:val="both"/>
      <w:textAlignment w:val="baseline"/>
    </w:pPr>
    <w:rPr>
      <w:rFonts w:ascii="Times New Roman" w:eastAsia="Times New Roman" w:hAnsi="Times New Roman" w:cs="Times New Roman"/>
      <w:noProof/>
      <w:szCs w:val="20"/>
      <w:lang w:val="en-GB" w:eastAsia="nl-NL"/>
    </w:rPr>
  </w:style>
  <w:style w:type="character" w:customStyle="1" w:styleId="BodyTextChar">
    <w:name w:val="Body Text Char"/>
    <w:basedOn w:val="DefaultParagraphFont"/>
    <w:link w:val="BodyText"/>
    <w:uiPriority w:val="99"/>
    <w:rsid w:val="004701F4"/>
    <w:rPr>
      <w:rFonts w:ascii="Times New Roman" w:eastAsia="Times New Roman" w:hAnsi="Times New Roman" w:cs="Times New Roman"/>
      <w:noProof/>
      <w:szCs w:val="20"/>
      <w:lang w:val="en-GB" w:eastAsia="nl-NL"/>
    </w:rPr>
  </w:style>
  <w:style w:type="character" w:styleId="Hyperlink">
    <w:name w:val="Hyperlink"/>
    <w:basedOn w:val="DefaultParagraphFont"/>
    <w:uiPriority w:val="99"/>
    <w:rsid w:val="004701F4"/>
    <w:rPr>
      <w:color w:val="0000FF"/>
      <w:u w:val="single"/>
    </w:rPr>
  </w:style>
  <w:style w:type="paragraph" w:styleId="BodyText2">
    <w:name w:val="Body Text 2"/>
    <w:basedOn w:val="Normal"/>
    <w:link w:val="BodyText2Char"/>
    <w:uiPriority w:val="99"/>
    <w:rsid w:val="004701F4"/>
    <w:pPr>
      <w:autoSpaceDE w:val="0"/>
      <w:autoSpaceDN w:val="0"/>
      <w:adjustRightInd w:val="0"/>
      <w:spacing w:after="0" w:line="240" w:lineRule="auto"/>
    </w:pPr>
    <w:rPr>
      <w:rFonts w:ascii="Myriad Pro" w:eastAsia="Times New Roman" w:hAnsi="Myriad Pro" w:cs="Arial"/>
      <w:noProof/>
      <w:color w:val="3E3F2C"/>
      <w:sz w:val="20"/>
      <w:szCs w:val="20"/>
      <w:lang w:val="en-GB" w:eastAsia="nl-NL"/>
    </w:rPr>
  </w:style>
  <w:style w:type="character" w:customStyle="1" w:styleId="BodyText2Char">
    <w:name w:val="Body Text 2 Char"/>
    <w:basedOn w:val="DefaultParagraphFont"/>
    <w:link w:val="BodyText2"/>
    <w:uiPriority w:val="99"/>
    <w:rsid w:val="004701F4"/>
    <w:rPr>
      <w:rFonts w:ascii="Myriad Pro" w:eastAsia="Times New Roman" w:hAnsi="Myriad Pro" w:cs="Arial"/>
      <w:noProof/>
      <w:color w:val="3E3F2C"/>
      <w:sz w:val="20"/>
      <w:szCs w:val="20"/>
      <w:lang w:val="en-GB" w:eastAsia="nl-NL"/>
    </w:rPr>
  </w:style>
  <w:style w:type="paragraph" w:customStyle="1" w:styleId="Lijstalinea1">
    <w:name w:val="Lijstalinea1"/>
    <w:basedOn w:val="Normal"/>
    <w:rsid w:val="004701F4"/>
    <w:pPr>
      <w:spacing w:after="200" w:line="276" w:lineRule="auto"/>
      <w:ind w:left="720"/>
      <w:contextualSpacing/>
    </w:pPr>
    <w:rPr>
      <w:rFonts w:ascii="Calibri" w:eastAsia="Times New Roman" w:hAnsi="Calibri" w:cs="Times New Roman"/>
      <w:noProof/>
      <w:lang w:val="en-GB"/>
    </w:rPr>
  </w:style>
  <w:style w:type="paragraph" w:styleId="BalloonText">
    <w:name w:val="Balloon Text"/>
    <w:basedOn w:val="Normal"/>
    <w:link w:val="BalloonTextChar"/>
    <w:uiPriority w:val="99"/>
    <w:rsid w:val="004701F4"/>
    <w:pPr>
      <w:overflowPunct w:val="0"/>
      <w:autoSpaceDE w:val="0"/>
      <w:autoSpaceDN w:val="0"/>
      <w:adjustRightInd w:val="0"/>
      <w:spacing w:after="0" w:line="240" w:lineRule="auto"/>
      <w:textAlignment w:val="baseline"/>
    </w:pPr>
    <w:rPr>
      <w:rFonts w:ascii="Tahoma" w:eastAsia="Times New Roman" w:hAnsi="Tahoma" w:cs="Tahoma"/>
      <w:noProof/>
      <w:sz w:val="16"/>
      <w:szCs w:val="16"/>
      <w:lang w:val="en-GB" w:eastAsia="nl-NL"/>
    </w:rPr>
  </w:style>
  <w:style w:type="character" w:customStyle="1" w:styleId="BalloonTextChar">
    <w:name w:val="Balloon Text Char"/>
    <w:basedOn w:val="DefaultParagraphFont"/>
    <w:link w:val="BalloonText"/>
    <w:uiPriority w:val="99"/>
    <w:rsid w:val="004701F4"/>
    <w:rPr>
      <w:rFonts w:ascii="Tahoma" w:eastAsia="Times New Roman" w:hAnsi="Tahoma" w:cs="Tahoma"/>
      <w:noProof/>
      <w:sz w:val="16"/>
      <w:szCs w:val="16"/>
      <w:lang w:val="en-GB" w:eastAsia="nl-NL"/>
    </w:rPr>
  </w:style>
  <w:style w:type="table" w:styleId="TableGrid">
    <w:name w:val="Table Grid"/>
    <w:basedOn w:val="TableNormal"/>
    <w:rsid w:val="004701F4"/>
    <w:pPr>
      <w:spacing w:after="0" w:line="240" w:lineRule="auto"/>
    </w:pPr>
    <w:rPr>
      <w:rFonts w:ascii="Times New Roman" w:eastAsia="Times New Roman" w:hAnsi="Times New Roman" w:cs="Times New Roman"/>
      <w:sz w:val="20"/>
      <w:szCs w:val="20"/>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WPlain">
    <w:name w:val="FFW Plain"/>
    <w:basedOn w:val="Normal"/>
    <w:locked/>
    <w:rsid w:val="004701F4"/>
    <w:pPr>
      <w:spacing w:after="0" w:line="260" w:lineRule="atLeast"/>
      <w:jc w:val="both"/>
    </w:pPr>
    <w:rPr>
      <w:rFonts w:ascii="Arial" w:eastAsia="Times New Roman" w:hAnsi="Arial" w:cs="Arial"/>
      <w:noProof/>
      <w:sz w:val="20"/>
      <w:szCs w:val="24"/>
      <w:lang w:val="en-GB" w:eastAsia="en-GB"/>
    </w:rPr>
  </w:style>
  <w:style w:type="character" w:customStyle="1" w:styleId="widget-contact-value">
    <w:name w:val="widget-contact-value"/>
    <w:basedOn w:val="DefaultParagraphFont"/>
    <w:rsid w:val="004701F4"/>
  </w:style>
  <w:style w:type="paragraph" w:customStyle="1" w:styleId="Aanhef1">
    <w:name w:val="Aanhef1"/>
    <w:basedOn w:val="Normal"/>
    <w:next w:val="Normal"/>
    <w:link w:val="Tekensvooraanhef"/>
    <w:uiPriority w:val="1"/>
    <w:unhideWhenUsed/>
    <w:qFormat/>
    <w:rsid w:val="004701F4"/>
    <w:pPr>
      <w:spacing w:before="720" w:line="288" w:lineRule="auto"/>
    </w:pPr>
    <w:rPr>
      <w:color w:val="595959" w:themeColor="text1" w:themeTint="A6"/>
      <w:kern w:val="20"/>
      <w:sz w:val="20"/>
      <w:szCs w:val="20"/>
      <w:lang w:val="en-GB" w:eastAsia="nl-NL"/>
    </w:rPr>
  </w:style>
  <w:style w:type="character" w:customStyle="1" w:styleId="Tekensvooraanhef">
    <w:name w:val="Tekens voor aanhef"/>
    <w:basedOn w:val="DefaultParagraphFont"/>
    <w:link w:val="Aanhef1"/>
    <w:uiPriority w:val="1"/>
    <w:rsid w:val="004701F4"/>
    <w:rPr>
      <w:color w:val="595959" w:themeColor="text1" w:themeTint="A6"/>
      <w:kern w:val="20"/>
      <w:sz w:val="20"/>
      <w:szCs w:val="20"/>
      <w:lang w:val="en-GB" w:eastAsia="nl-NL"/>
    </w:rPr>
  </w:style>
  <w:style w:type="paragraph" w:customStyle="1" w:styleId="bijschrift">
    <w:name w:val="bijschrift"/>
    <w:basedOn w:val="Normal"/>
    <w:uiPriority w:val="99"/>
    <w:rsid w:val="004701F4"/>
    <w:pPr>
      <w:overflowPunct w:val="0"/>
      <w:autoSpaceDE w:val="0"/>
      <w:autoSpaceDN w:val="0"/>
      <w:adjustRightInd w:val="0"/>
      <w:spacing w:after="0" w:line="240" w:lineRule="auto"/>
      <w:textAlignment w:val="baseline"/>
    </w:pPr>
    <w:rPr>
      <w:rFonts w:ascii="Courier" w:eastAsia="Times New Roman" w:hAnsi="Courier" w:cs="Times New Roman"/>
      <w:sz w:val="24"/>
      <w:szCs w:val="20"/>
      <w:lang w:val="en-GB" w:eastAsia="nl-NL"/>
    </w:rPr>
  </w:style>
  <w:style w:type="paragraph" w:customStyle="1" w:styleId="xl24">
    <w:name w:val="xl24"/>
    <w:basedOn w:val="Normal"/>
    <w:uiPriority w:val="99"/>
    <w:rsid w:val="004701F4"/>
    <w:pPr>
      <w:spacing w:before="100" w:beforeAutospacing="1" w:after="100" w:afterAutospacing="1" w:line="240" w:lineRule="auto"/>
      <w:textAlignment w:val="center"/>
    </w:pPr>
    <w:rPr>
      <w:rFonts w:ascii="Univers" w:eastAsia="Arial Unicode MS" w:hAnsi="Univers" w:cs="Arial Unicode MS"/>
      <w:sz w:val="24"/>
      <w:szCs w:val="24"/>
      <w:lang w:val="en-GB" w:eastAsia="nl-NL"/>
    </w:rPr>
  </w:style>
  <w:style w:type="paragraph" w:customStyle="1" w:styleId="xl25">
    <w:name w:val="xl25"/>
    <w:basedOn w:val="Normal"/>
    <w:uiPriority w:val="99"/>
    <w:rsid w:val="004701F4"/>
    <w:pPr>
      <w:pBdr>
        <w:left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en-GB" w:eastAsia="nl-NL"/>
    </w:rPr>
  </w:style>
  <w:style w:type="paragraph" w:customStyle="1" w:styleId="xl26">
    <w:name w:val="xl26"/>
    <w:basedOn w:val="Normal"/>
    <w:uiPriority w:val="99"/>
    <w:rsid w:val="004701F4"/>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en-GB" w:eastAsia="nl-NL"/>
    </w:rPr>
  </w:style>
  <w:style w:type="paragraph" w:customStyle="1" w:styleId="xl27">
    <w:name w:val="xl27"/>
    <w:basedOn w:val="Normal"/>
    <w:uiPriority w:val="99"/>
    <w:rsid w:val="004701F4"/>
    <w:pPr>
      <w:spacing w:before="100" w:beforeAutospacing="1" w:after="100" w:afterAutospacing="1" w:line="240" w:lineRule="auto"/>
      <w:jc w:val="center"/>
      <w:textAlignment w:val="center"/>
    </w:pPr>
    <w:rPr>
      <w:rFonts w:ascii="Univers" w:eastAsia="Arial Unicode MS" w:hAnsi="Univers" w:cs="Arial Unicode MS"/>
      <w:sz w:val="24"/>
      <w:szCs w:val="24"/>
      <w:lang w:val="en-GB" w:eastAsia="nl-NL"/>
    </w:rPr>
  </w:style>
  <w:style w:type="paragraph" w:customStyle="1" w:styleId="xl28">
    <w:name w:val="xl28"/>
    <w:basedOn w:val="Normal"/>
    <w:uiPriority w:val="99"/>
    <w:rsid w:val="004701F4"/>
    <w:pPr>
      <w:spacing w:before="100" w:beforeAutospacing="1" w:after="100" w:afterAutospacing="1" w:line="240" w:lineRule="auto"/>
      <w:jc w:val="center"/>
      <w:textAlignment w:val="center"/>
    </w:pPr>
    <w:rPr>
      <w:rFonts w:ascii="Univers" w:eastAsia="Arial Unicode MS" w:hAnsi="Univers" w:cs="Arial Unicode MS"/>
      <w:b/>
      <w:bCs/>
      <w:sz w:val="24"/>
      <w:szCs w:val="24"/>
      <w:lang w:val="en-GB" w:eastAsia="nl-NL"/>
    </w:rPr>
  </w:style>
  <w:style w:type="paragraph" w:customStyle="1" w:styleId="xl29">
    <w:name w:val="xl29"/>
    <w:basedOn w:val="Normal"/>
    <w:uiPriority w:val="99"/>
    <w:rsid w:val="004701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en-GB" w:eastAsia="nl-NL"/>
    </w:rPr>
  </w:style>
  <w:style w:type="paragraph" w:customStyle="1" w:styleId="xl30">
    <w:name w:val="xl30"/>
    <w:basedOn w:val="Normal"/>
    <w:uiPriority w:val="99"/>
    <w:rsid w:val="004701F4"/>
    <w:pPr>
      <w:pBdr>
        <w:bottom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en-GB" w:eastAsia="nl-NL"/>
    </w:rPr>
  </w:style>
  <w:style w:type="paragraph" w:customStyle="1" w:styleId="xl31">
    <w:name w:val="xl31"/>
    <w:basedOn w:val="Normal"/>
    <w:uiPriority w:val="99"/>
    <w:rsid w:val="004701F4"/>
    <w:pPr>
      <w:pBdr>
        <w:bottom w:val="single" w:sz="4" w:space="0" w:color="auto"/>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en-GB" w:eastAsia="nl-NL"/>
    </w:rPr>
  </w:style>
  <w:style w:type="paragraph" w:customStyle="1" w:styleId="xl32">
    <w:name w:val="xl32"/>
    <w:basedOn w:val="Normal"/>
    <w:uiPriority w:val="99"/>
    <w:rsid w:val="004701F4"/>
    <w:pPr>
      <w:pBdr>
        <w:left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en-GB" w:eastAsia="nl-NL"/>
    </w:rPr>
  </w:style>
  <w:style w:type="paragraph" w:customStyle="1" w:styleId="xl33">
    <w:name w:val="xl33"/>
    <w:basedOn w:val="Normal"/>
    <w:uiPriority w:val="99"/>
    <w:rsid w:val="00470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en-GB" w:eastAsia="nl-NL"/>
    </w:rPr>
  </w:style>
  <w:style w:type="paragraph" w:customStyle="1" w:styleId="xl34">
    <w:name w:val="xl34"/>
    <w:basedOn w:val="Normal"/>
    <w:uiPriority w:val="99"/>
    <w:rsid w:val="00470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en-GB" w:eastAsia="nl-NL"/>
    </w:rPr>
  </w:style>
  <w:style w:type="paragraph" w:customStyle="1" w:styleId="xl35">
    <w:name w:val="xl35"/>
    <w:basedOn w:val="Normal"/>
    <w:uiPriority w:val="99"/>
    <w:rsid w:val="004701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en-GB" w:eastAsia="nl-NL"/>
    </w:rPr>
  </w:style>
  <w:style w:type="paragraph" w:customStyle="1" w:styleId="xl36">
    <w:name w:val="xl36"/>
    <w:basedOn w:val="Normal"/>
    <w:uiPriority w:val="99"/>
    <w:rsid w:val="004701F4"/>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en-GB" w:eastAsia="nl-NL"/>
    </w:rPr>
  </w:style>
  <w:style w:type="paragraph" w:customStyle="1" w:styleId="xl37">
    <w:name w:val="xl37"/>
    <w:basedOn w:val="Normal"/>
    <w:uiPriority w:val="99"/>
    <w:rsid w:val="004701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en-GB" w:eastAsia="nl-NL"/>
    </w:rPr>
  </w:style>
  <w:style w:type="paragraph" w:customStyle="1" w:styleId="xl38">
    <w:name w:val="xl38"/>
    <w:basedOn w:val="Normal"/>
    <w:uiPriority w:val="99"/>
    <w:rsid w:val="004701F4"/>
    <w:pPr>
      <w:spacing w:before="100" w:beforeAutospacing="1" w:after="100" w:afterAutospacing="1" w:line="240" w:lineRule="auto"/>
      <w:textAlignment w:val="center"/>
    </w:pPr>
    <w:rPr>
      <w:rFonts w:ascii="Univers" w:eastAsia="Arial Unicode MS" w:hAnsi="Univers" w:cs="Arial Unicode MS"/>
      <w:sz w:val="18"/>
      <w:szCs w:val="18"/>
      <w:lang w:val="en-GB" w:eastAsia="nl-NL"/>
    </w:rPr>
  </w:style>
  <w:style w:type="paragraph" w:customStyle="1" w:styleId="xl39">
    <w:name w:val="xl39"/>
    <w:basedOn w:val="Normal"/>
    <w:uiPriority w:val="99"/>
    <w:rsid w:val="004701F4"/>
    <w:pPr>
      <w:spacing w:before="100" w:beforeAutospacing="1" w:after="100" w:afterAutospacing="1" w:line="240" w:lineRule="auto"/>
      <w:textAlignment w:val="center"/>
    </w:pPr>
    <w:rPr>
      <w:rFonts w:ascii="Univers" w:eastAsia="Arial Unicode MS" w:hAnsi="Univers" w:cs="Arial Unicode MS"/>
      <w:sz w:val="18"/>
      <w:szCs w:val="18"/>
      <w:lang w:val="en-GB" w:eastAsia="nl-NL"/>
    </w:rPr>
  </w:style>
  <w:style w:type="paragraph" w:customStyle="1" w:styleId="xl40">
    <w:name w:val="xl40"/>
    <w:basedOn w:val="Normal"/>
    <w:uiPriority w:val="99"/>
    <w:rsid w:val="004701F4"/>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en-GB" w:eastAsia="nl-NL"/>
    </w:rPr>
  </w:style>
  <w:style w:type="paragraph" w:customStyle="1" w:styleId="xl41">
    <w:name w:val="xl41"/>
    <w:basedOn w:val="Normal"/>
    <w:uiPriority w:val="99"/>
    <w:rsid w:val="004701F4"/>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en-GB" w:eastAsia="nl-NL"/>
    </w:rPr>
  </w:style>
  <w:style w:type="paragraph" w:customStyle="1" w:styleId="xl42">
    <w:name w:val="xl42"/>
    <w:basedOn w:val="Normal"/>
    <w:uiPriority w:val="99"/>
    <w:rsid w:val="004701F4"/>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en-GB" w:eastAsia="nl-NL"/>
    </w:rPr>
  </w:style>
  <w:style w:type="paragraph" w:customStyle="1" w:styleId="xl43">
    <w:name w:val="xl43"/>
    <w:basedOn w:val="Normal"/>
    <w:uiPriority w:val="99"/>
    <w:rsid w:val="004701F4"/>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en-GB" w:eastAsia="nl-NL"/>
    </w:rPr>
  </w:style>
  <w:style w:type="paragraph" w:customStyle="1" w:styleId="xl44">
    <w:name w:val="xl44"/>
    <w:basedOn w:val="Normal"/>
    <w:uiPriority w:val="99"/>
    <w:rsid w:val="004701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en-GB" w:eastAsia="nl-NL"/>
    </w:rPr>
  </w:style>
  <w:style w:type="paragraph" w:customStyle="1" w:styleId="xl45">
    <w:name w:val="xl45"/>
    <w:basedOn w:val="Normal"/>
    <w:uiPriority w:val="99"/>
    <w:rsid w:val="004701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en-GB" w:eastAsia="nl-NL"/>
    </w:rPr>
  </w:style>
  <w:style w:type="paragraph" w:customStyle="1" w:styleId="xl46">
    <w:name w:val="xl46"/>
    <w:basedOn w:val="Normal"/>
    <w:uiPriority w:val="99"/>
    <w:rsid w:val="004701F4"/>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en-GB" w:eastAsia="nl-NL"/>
    </w:rPr>
  </w:style>
  <w:style w:type="paragraph" w:customStyle="1" w:styleId="xl47">
    <w:name w:val="xl47"/>
    <w:basedOn w:val="Normal"/>
    <w:uiPriority w:val="99"/>
    <w:rsid w:val="004701F4"/>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en-GB" w:eastAsia="nl-NL"/>
    </w:rPr>
  </w:style>
  <w:style w:type="paragraph" w:customStyle="1" w:styleId="xl48">
    <w:name w:val="xl48"/>
    <w:basedOn w:val="Normal"/>
    <w:uiPriority w:val="99"/>
    <w:rsid w:val="004701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en-GB" w:eastAsia="nl-NL"/>
    </w:rPr>
  </w:style>
  <w:style w:type="paragraph" w:customStyle="1" w:styleId="xl49">
    <w:name w:val="xl49"/>
    <w:basedOn w:val="Normal"/>
    <w:uiPriority w:val="99"/>
    <w:rsid w:val="004701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en-GB" w:eastAsia="nl-NL"/>
    </w:rPr>
  </w:style>
  <w:style w:type="paragraph" w:customStyle="1" w:styleId="xl50">
    <w:name w:val="xl50"/>
    <w:basedOn w:val="Normal"/>
    <w:uiPriority w:val="99"/>
    <w:rsid w:val="004701F4"/>
    <w:pPr>
      <w:spacing w:before="100" w:beforeAutospacing="1" w:after="100" w:afterAutospacing="1" w:line="240" w:lineRule="auto"/>
      <w:textAlignment w:val="center"/>
    </w:pPr>
    <w:rPr>
      <w:rFonts w:ascii="Univers" w:eastAsia="Arial Unicode MS" w:hAnsi="Univers" w:cs="Arial Unicode MS"/>
      <w:sz w:val="18"/>
      <w:szCs w:val="18"/>
      <w:lang w:val="en-GB" w:eastAsia="nl-NL"/>
    </w:rPr>
  </w:style>
  <w:style w:type="paragraph" w:customStyle="1" w:styleId="xl51">
    <w:name w:val="xl51"/>
    <w:basedOn w:val="Normal"/>
    <w:uiPriority w:val="99"/>
    <w:rsid w:val="004701F4"/>
    <w:pPr>
      <w:spacing w:before="100" w:beforeAutospacing="1" w:after="100" w:afterAutospacing="1" w:line="240" w:lineRule="auto"/>
      <w:textAlignment w:val="center"/>
    </w:pPr>
    <w:rPr>
      <w:rFonts w:ascii="Univers" w:eastAsia="Arial Unicode MS" w:hAnsi="Univers" w:cs="Arial Unicode MS"/>
      <w:sz w:val="18"/>
      <w:szCs w:val="18"/>
      <w:lang w:val="en-GB" w:eastAsia="nl-NL"/>
    </w:rPr>
  </w:style>
  <w:style w:type="paragraph" w:customStyle="1" w:styleId="xl52">
    <w:name w:val="xl52"/>
    <w:basedOn w:val="Normal"/>
    <w:uiPriority w:val="99"/>
    <w:rsid w:val="004701F4"/>
    <w:pPr>
      <w:pBdr>
        <w:top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en-GB" w:eastAsia="nl-NL"/>
    </w:rPr>
  </w:style>
  <w:style w:type="paragraph" w:customStyle="1" w:styleId="xl53">
    <w:name w:val="xl53"/>
    <w:basedOn w:val="Normal"/>
    <w:uiPriority w:val="99"/>
    <w:rsid w:val="004701F4"/>
    <w:pPr>
      <w:pBdr>
        <w:top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en-GB" w:eastAsia="nl-NL"/>
    </w:rPr>
  </w:style>
  <w:style w:type="paragraph" w:customStyle="1" w:styleId="xl54">
    <w:name w:val="xl54"/>
    <w:basedOn w:val="Normal"/>
    <w:uiPriority w:val="99"/>
    <w:rsid w:val="004701F4"/>
    <w:pPr>
      <w:pBdr>
        <w:top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en-GB" w:eastAsia="nl-NL"/>
    </w:rPr>
  </w:style>
  <w:style w:type="paragraph" w:customStyle="1" w:styleId="xl55">
    <w:name w:val="xl55"/>
    <w:basedOn w:val="Normal"/>
    <w:uiPriority w:val="99"/>
    <w:rsid w:val="004701F4"/>
    <w:pPr>
      <w:pBdr>
        <w:bottom w:val="single" w:sz="4" w:space="0" w:color="auto"/>
      </w:pBdr>
      <w:spacing w:before="100" w:beforeAutospacing="1" w:after="100" w:afterAutospacing="1" w:line="240" w:lineRule="auto"/>
      <w:jc w:val="right"/>
      <w:textAlignment w:val="center"/>
    </w:pPr>
    <w:rPr>
      <w:rFonts w:ascii="Univers" w:eastAsia="Arial Unicode MS" w:hAnsi="Univers" w:cs="Arial Unicode MS"/>
      <w:color w:val="000000"/>
      <w:sz w:val="18"/>
      <w:szCs w:val="18"/>
      <w:lang w:val="en-GB" w:eastAsia="nl-NL"/>
    </w:rPr>
  </w:style>
  <w:style w:type="paragraph" w:customStyle="1" w:styleId="xl56">
    <w:name w:val="xl56"/>
    <w:basedOn w:val="Normal"/>
    <w:uiPriority w:val="99"/>
    <w:rsid w:val="004701F4"/>
    <w:pPr>
      <w:pBdr>
        <w:lef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en-GB" w:eastAsia="nl-NL"/>
    </w:rPr>
  </w:style>
  <w:style w:type="paragraph" w:customStyle="1" w:styleId="xl57">
    <w:name w:val="xl57"/>
    <w:basedOn w:val="Normal"/>
    <w:uiPriority w:val="99"/>
    <w:rsid w:val="004701F4"/>
    <w:pPr>
      <w:spacing w:before="100" w:beforeAutospacing="1" w:after="100" w:afterAutospacing="1" w:line="240" w:lineRule="auto"/>
      <w:jc w:val="right"/>
      <w:textAlignment w:val="center"/>
    </w:pPr>
    <w:rPr>
      <w:rFonts w:ascii="Univers" w:eastAsia="Arial Unicode MS" w:hAnsi="Univers" w:cs="Arial Unicode MS"/>
      <w:color w:val="000000"/>
      <w:sz w:val="18"/>
      <w:szCs w:val="18"/>
      <w:lang w:val="en-GB" w:eastAsia="nl-NL"/>
    </w:rPr>
  </w:style>
  <w:style w:type="paragraph" w:customStyle="1" w:styleId="xl58">
    <w:name w:val="xl58"/>
    <w:basedOn w:val="Normal"/>
    <w:uiPriority w:val="99"/>
    <w:rsid w:val="004701F4"/>
    <w:pPr>
      <w:spacing w:before="100" w:beforeAutospacing="1" w:after="100" w:afterAutospacing="1" w:line="240" w:lineRule="auto"/>
      <w:textAlignment w:val="center"/>
    </w:pPr>
    <w:rPr>
      <w:rFonts w:ascii="Univers" w:eastAsia="Arial Unicode MS" w:hAnsi="Univers" w:cs="Arial Unicode MS"/>
      <w:color w:val="000000"/>
      <w:sz w:val="18"/>
      <w:szCs w:val="18"/>
      <w:lang w:val="en-GB" w:eastAsia="nl-NL"/>
    </w:rPr>
  </w:style>
  <w:style w:type="paragraph" w:customStyle="1" w:styleId="xl59">
    <w:name w:val="xl59"/>
    <w:basedOn w:val="Normal"/>
    <w:uiPriority w:val="99"/>
    <w:rsid w:val="004701F4"/>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en-GB" w:eastAsia="nl-NL"/>
    </w:rPr>
  </w:style>
  <w:style w:type="paragraph" w:customStyle="1" w:styleId="xl60">
    <w:name w:val="xl60"/>
    <w:basedOn w:val="Normal"/>
    <w:uiPriority w:val="99"/>
    <w:rsid w:val="004701F4"/>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18"/>
      <w:szCs w:val="18"/>
      <w:lang w:val="en-GB" w:eastAsia="nl-NL"/>
    </w:rPr>
  </w:style>
  <w:style w:type="paragraph" w:customStyle="1" w:styleId="xl61">
    <w:name w:val="xl61"/>
    <w:basedOn w:val="Normal"/>
    <w:uiPriority w:val="99"/>
    <w:rsid w:val="004701F4"/>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18"/>
      <w:szCs w:val="18"/>
      <w:lang w:val="en-GB" w:eastAsia="nl-NL"/>
    </w:rPr>
  </w:style>
  <w:style w:type="character" w:styleId="PageNumber">
    <w:name w:val="page number"/>
    <w:basedOn w:val="DefaultParagraphFont"/>
    <w:uiPriority w:val="99"/>
    <w:semiHidden/>
    <w:rsid w:val="004701F4"/>
    <w:rPr>
      <w:rFonts w:cs="Times New Roman"/>
    </w:rPr>
  </w:style>
  <w:style w:type="paragraph" w:customStyle="1" w:styleId="xl22">
    <w:name w:val="xl22"/>
    <w:basedOn w:val="Normal"/>
    <w:uiPriority w:val="99"/>
    <w:rsid w:val="00470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en-GB" w:eastAsia="nl-NL"/>
    </w:rPr>
  </w:style>
  <w:style w:type="paragraph" w:customStyle="1" w:styleId="xl23">
    <w:name w:val="xl23"/>
    <w:basedOn w:val="Normal"/>
    <w:uiPriority w:val="99"/>
    <w:rsid w:val="004701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en-GB" w:eastAsia="nl-NL"/>
    </w:rPr>
  </w:style>
  <w:style w:type="paragraph" w:styleId="NormalWeb">
    <w:name w:val="Normal (Web)"/>
    <w:basedOn w:val="Normal"/>
    <w:uiPriority w:val="99"/>
    <w:unhideWhenUsed/>
    <w:rsid w:val="004701F4"/>
    <w:pPr>
      <w:spacing w:before="100" w:beforeAutospacing="1" w:after="100" w:afterAutospacing="1" w:line="240" w:lineRule="auto"/>
    </w:pPr>
    <w:rPr>
      <w:rFonts w:ascii="Times New Roman" w:eastAsia="Times New Roman" w:hAnsi="Times New Roman" w:cs="Times New Roman"/>
      <w:sz w:val="24"/>
      <w:szCs w:val="24"/>
      <w:lang w:val="en-GB" w:eastAsia="nl-NL"/>
    </w:rPr>
  </w:style>
  <w:style w:type="character" w:styleId="CommentReference">
    <w:name w:val="annotation reference"/>
    <w:basedOn w:val="DefaultParagraphFont"/>
    <w:uiPriority w:val="99"/>
    <w:semiHidden/>
    <w:unhideWhenUsed/>
    <w:rsid w:val="004701F4"/>
    <w:rPr>
      <w:sz w:val="16"/>
      <w:szCs w:val="16"/>
    </w:rPr>
  </w:style>
  <w:style w:type="paragraph" w:styleId="CommentText">
    <w:name w:val="annotation text"/>
    <w:basedOn w:val="Normal"/>
    <w:link w:val="CommentTextChar"/>
    <w:uiPriority w:val="99"/>
    <w:semiHidden/>
    <w:unhideWhenUsed/>
    <w:rsid w:val="004701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nl-NL"/>
    </w:rPr>
  </w:style>
  <w:style w:type="character" w:customStyle="1" w:styleId="CommentTextChar">
    <w:name w:val="Comment Text Char"/>
    <w:basedOn w:val="DefaultParagraphFont"/>
    <w:link w:val="CommentText"/>
    <w:uiPriority w:val="99"/>
    <w:semiHidden/>
    <w:rsid w:val="004701F4"/>
    <w:rPr>
      <w:rFonts w:ascii="Times New Roman" w:eastAsia="Times New Roman" w:hAnsi="Times New Roman"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4701F4"/>
    <w:rPr>
      <w:b/>
      <w:bCs/>
    </w:rPr>
  </w:style>
  <w:style w:type="character" w:customStyle="1" w:styleId="CommentSubjectChar">
    <w:name w:val="Comment Subject Char"/>
    <w:basedOn w:val="CommentTextChar"/>
    <w:link w:val="CommentSubject"/>
    <w:uiPriority w:val="99"/>
    <w:semiHidden/>
    <w:rsid w:val="004701F4"/>
    <w:rPr>
      <w:rFonts w:ascii="Times New Roman" w:eastAsia="Times New Roman" w:hAnsi="Times New Roman" w:cs="Times New Roman"/>
      <w:b/>
      <w:bCs/>
      <w:sz w:val="20"/>
      <w:szCs w:val="20"/>
      <w:lang w:val="en-GB" w:eastAsia="nl-NL"/>
    </w:rPr>
  </w:style>
  <w:style w:type="character" w:customStyle="1" w:styleId="Onopgelostemelding1">
    <w:name w:val="Onopgeloste melding1"/>
    <w:basedOn w:val="DefaultParagraphFont"/>
    <w:uiPriority w:val="99"/>
    <w:semiHidden/>
    <w:unhideWhenUsed/>
    <w:rsid w:val="004701F4"/>
    <w:rPr>
      <w:color w:val="605E5C"/>
      <w:shd w:val="clear" w:color="auto" w:fill="E1DFDD"/>
    </w:rPr>
  </w:style>
  <w:style w:type="character" w:styleId="FollowedHyperlink">
    <w:name w:val="FollowedHyperlink"/>
    <w:basedOn w:val="DefaultParagraphFont"/>
    <w:uiPriority w:val="99"/>
    <w:semiHidden/>
    <w:unhideWhenUsed/>
    <w:rsid w:val="004701F4"/>
    <w:rPr>
      <w:color w:val="800080"/>
      <w:u w:val="single"/>
    </w:rPr>
  </w:style>
  <w:style w:type="paragraph" w:customStyle="1" w:styleId="msonormal0">
    <w:name w:val="msonormal"/>
    <w:basedOn w:val="Normal"/>
    <w:rsid w:val="004701F4"/>
    <w:pPr>
      <w:spacing w:before="100" w:beforeAutospacing="1" w:after="100" w:afterAutospacing="1" w:line="240" w:lineRule="auto"/>
    </w:pPr>
    <w:rPr>
      <w:rFonts w:ascii="Times New Roman" w:eastAsia="Times New Roman" w:hAnsi="Times New Roman" w:cs="Times New Roman"/>
      <w:sz w:val="24"/>
      <w:szCs w:val="24"/>
      <w:lang w:val="en-GB" w:eastAsia="nl-BE"/>
    </w:rPr>
  </w:style>
  <w:style w:type="paragraph" w:customStyle="1" w:styleId="xl67">
    <w:name w:val="xl67"/>
    <w:basedOn w:val="Normal"/>
    <w:rsid w:val="004701F4"/>
    <w:pPr>
      <w:spacing w:before="100" w:beforeAutospacing="1" w:after="100" w:afterAutospacing="1" w:line="240" w:lineRule="auto"/>
    </w:pPr>
    <w:rPr>
      <w:rFonts w:ascii="Univers" w:eastAsia="Times New Roman" w:hAnsi="Univers" w:cs="Times New Roman"/>
      <w:color w:val="000000"/>
      <w:sz w:val="24"/>
      <w:szCs w:val="24"/>
      <w:lang w:val="en-GB" w:eastAsia="nl-BE"/>
    </w:rPr>
  </w:style>
  <w:style w:type="paragraph" w:customStyle="1" w:styleId="xl68">
    <w:name w:val="xl68"/>
    <w:basedOn w:val="Normal"/>
    <w:rsid w:val="004701F4"/>
    <w:pPr>
      <w:pBdr>
        <w:left w:val="single" w:sz="4" w:space="0" w:color="auto"/>
      </w:pBdr>
      <w:shd w:val="clear" w:color="000000" w:fill="FFFFFF"/>
      <w:spacing w:before="100" w:beforeAutospacing="1" w:after="100" w:afterAutospacing="1" w:line="240" w:lineRule="auto"/>
    </w:pPr>
    <w:rPr>
      <w:rFonts w:ascii="Univers" w:eastAsia="Times New Roman" w:hAnsi="Univers" w:cs="Times New Roman"/>
      <w:color w:val="000000"/>
      <w:sz w:val="24"/>
      <w:szCs w:val="24"/>
      <w:lang w:val="en-GB" w:eastAsia="nl-BE"/>
    </w:rPr>
  </w:style>
  <w:style w:type="paragraph" w:customStyle="1" w:styleId="xl69">
    <w:name w:val="xl69"/>
    <w:basedOn w:val="Normal"/>
    <w:rsid w:val="004701F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en-GB" w:eastAsia="nl-BE"/>
    </w:rPr>
  </w:style>
  <w:style w:type="paragraph" w:customStyle="1" w:styleId="xl70">
    <w:name w:val="xl70"/>
    <w:basedOn w:val="Normal"/>
    <w:rsid w:val="004701F4"/>
    <w:pPr>
      <w:pBdr>
        <w:lef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en-GB" w:eastAsia="nl-BE"/>
    </w:rPr>
  </w:style>
  <w:style w:type="paragraph" w:customStyle="1" w:styleId="xl71">
    <w:name w:val="xl71"/>
    <w:basedOn w:val="Normal"/>
    <w:rsid w:val="004701F4"/>
    <w:pP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en-GB" w:eastAsia="nl-BE"/>
    </w:rPr>
  </w:style>
  <w:style w:type="paragraph" w:customStyle="1" w:styleId="xl72">
    <w:name w:val="xl72"/>
    <w:basedOn w:val="Normal"/>
    <w:rsid w:val="004701F4"/>
    <w:pPr>
      <w:pBdr>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en-GB" w:eastAsia="nl-BE"/>
    </w:rPr>
  </w:style>
  <w:style w:type="paragraph" w:customStyle="1" w:styleId="xl73">
    <w:name w:val="xl73"/>
    <w:basedOn w:val="Normal"/>
    <w:rsid w:val="004701F4"/>
    <w:pPr>
      <w:pBdr>
        <w:left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en-GB" w:eastAsia="nl-BE"/>
    </w:rPr>
  </w:style>
  <w:style w:type="paragraph" w:customStyle="1" w:styleId="xl74">
    <w:name w:val="xl74"/>
    <w:basedOn w:val="Normal"/>
    <w:rsid w:val="004701F4"/>
    <w:pPr>
      <w:pBdr>
        <w:top w:val="single" w:sz="4" w:space="0" w:color="FFFFFF"/>
        <w:left w:val="single" w:sz="4" w:space="0" w:color="auto"/>
        <w:bottom w:val="single" w:sz="4" w:space="0" w:color="auto"/>
      </w:pBdr>
      <w:shd w:val="clear" w:color="000000" w:fill="FFFFFF"/>
      <w:spacing w:before="100" w:beforeAutospacing="1" w:after="100" w:afterAutospacing="1" w:line="240" w:lineRule="auto"/>
    </w:pPr>
    <w:rPr>
      <w:rFonts w:ascii="Univers" w:eastAsia="Times New Roman" w:hAnsi="Univers" w:cs="Times New Roman"/>
      <w:b/>
      <w:bCs/>
      <w:color w:val="000000"/>
      <w:sz w:val="24"/>
      <w:szCs w:val="24"/>
      <w:lang w:val="en-GB" w:eastAsia="nl-BE"/>
    </w:rPr>
  </w:style>
  <w:style w:type="paragraph" w:customStyle="1" w:styleId="xl75">
    <w:name w:val="xl75"/>
    <w:basedOn w:val="Normal"/>
    <w:rsid w:val="004701F4"/>
    <w:pPr>
      <w:pBdr>
        <w:top w:val="single" w:sz="4" w:space="0" w:color="FFFFFF"/>
        <w:left w:val="single" w:sz="4" w:space="0" w:color="auto"/>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en-GB" w:eastAsia="nl-BE"/>
    </w:rPr>
  </w:style>
  <w:style w:type="paragraph" w:customStyle="1" w:styleId="xl76">
    <w:name w:val="xl76"/>
    <w:basedOn w:val="Normal"/>
    <w:rsid w:val="004701F4"/>
    <w:pPr>
      <w:pBdr>
        <w:top w:val="single" w:sz="4" w:space="0" w:color="FFFFFF"/>
        <w:left w:val="single" w:sz="4" w:space="0" w:color="FFFFFF"/>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en-GB" w:eastAsia="nl-BE"/>
    </w:rPr>
  </w:style>
  <w:style w:type="paragraph" w:customStyle="1" w:styleId="xl77">
    <w:name w:val="xl77"/>
    <w:basedOn w:val="Normal"/>
    <w:rsid w:val="004701F4"/>
    <w:pPr>
      <w:pBdr>
        <w:left w:val="single" w:sz="4" w:space="0" w:color="FFFFFF"/>
        <w:bottom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en-GB" w:eastAsia="nl-BE"/>
    </w:rPr>
  </w:style>
  <w:style w:type="paragraph" w:customStyle="1" w:styleId="xl78">
    <w:name w:val="xl78"/>
    <w:basedOn w:val="Normal"/>
    <w:rsid w:val="004701F4"/>
    <w:pPr>
      <w:pBdr>
        <w:top w:val="single" w:sz="4" w:space="0" w:color="FFFFFF"/>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en-GB" w:eastAsia="nl-BE"/>
    </w:rPr>
  </w:style>
  <w:style w:type="paragraph" w:customStyle="1" w:styleId="xl79">
    <w:name w:val="xl79"/>
    <w:basedOn w:val="Normal"/>
    <w:rsid w:val="004701F4"/>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en-GB" w:eastAsia="nl-BE"/>
    </w:rPr>
  </w:style>
  <w:style w:type="paragraph" w:customStyle="1" w:styleId="xl80">
    <w:name w:val="xl80"/>
    <w:basedOn w:val="Normal"/>
    <w:rsid w:val="004701F4"/>
    <w:pPr>
      <w:pBdr>
        <w:top w:val="single" w:sz="4" w:space="0" w:color="FFFFFF"/>
        <w:left w:val="single" w:sz="4" w:space="0" w:color="auto"/>
        <w:bottom w:val="single" w:sz="4" w:space="0" w:color="FFFFFF"/>
      </w:pBdr>
      <w:spacing w:before="100" w:beforeAutospacing="1" w:after="100" w:afterAutospacing="1" w:line="240" w:lineRule="auto"/>
    </w:pPr>
    <w:rPr>
      <w:rFonts w:ascii="Univers" w:eastAsia="Times New Roman" w:hAnsi="Univers" w:cs="Times New Roman"/>
      <w:color w:val="000000"/>
      <w:sz w:val="24"/>
      <w:szCs w:val="24"/>
      <w:lang w:val="en-GB" w:eastAsia="nl-BE"/>
    </w:rPr>
  </w:style>
  <w:style w:type="paragraph" w:customStyle="1" w:styleId="xl81">
    <w:name w:val="xl81"/>
    <w:basedOn w:val="Normal"/>
    <w:rsid w:val="004701F4"/>
    <w:pPr>
      <w:pBdr>
        <w:left w:val="single" w:sz="4" w:space="0" w:color="auto"/>
        <w:bottom w:val="single" w:sz="4" w:space="0" w:color="FFFFFF"/>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en-GB" w:eastAsia="nl-BE"/>
    </w:rPr>
  </w:style>
  <w:style w:type="paragraph" w:customStyle="1" w:styleId="xl82">
    <w:name w:val="xl82"/>
    <w:basedOn w:val="Normal"/>
    <w:rsid w:val="004701F4"/>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83">
    <w:name w:val="xl83"/>
    <w:basedOn w:val="Normal"/>
    <w:rsid w:val="004701F4"/>
    <w:pPr>
      <w:pBdr>
        <w:left w:val="single" w:sz="4" w:space="0" w:color="FFFFFF"/>
        <w:bottom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84">
    <w:name w:val="xl84"/>
    <w:basedOn w:val="Normal"/>
    <w:rsid w:val="004701F4"/>
    <w:pPr>
      <w:pBdr>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85">
    <w:name w:val="xl85"/>
    <w:basedOn w:val="Normal"/>
    <w:rsid w:val="004701F4"/>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86">
    <w:name w:val="xl86"/>
    <w:basedOn w:val="Normal"/>
    <w:rsid w:val="004701F4"/>
    <w:pPr>
      <w:pBdr>
        <w:left w:val="single" w:sz="4" w:space="0" w:color="FFFFFF"/>
        <w:bottom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87">
    <w:name w:val="xl87"/>
    <w:basedOn w:val="Normal"/>
    <w:rsid w:val="004701F4"/>
    <w:pPr>
      <w:pBdr>
        <w:left w:val="single" w:sz="4" w:space="0" w:color="auto"/>
        <w:bottom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88">
    <w:name w:val="xl88"/>
    <w:basedOn w:val="Normal"/>
    <w:rsid w:val="004701F4"/>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24"/>
      <w:szCs w:val="24"/>
      <w:lang w:val="en-GB" w:eastAsia="nl-BE"/>
    </w:rPr>
  </w:style>
  <w:style w:type="paragraph" w:customStyle="1" w:styleId="xl89">
    <w:name w:val="xl89"/>
    <w:basedOn w:val="Normal"/>
    <w:rsid w:val="004701F4"/>
    <w:pPr>
      <w:pBdr>
        <w:top w:val="single" w:sz="4" w:space="0" w:color="auto"/>
        <w:left w:val="single" w:sz="4" w:space="0" w:color="auto"/>
        <w:bottom w:val="single" w:sz="4" w:space="0" w:color="auto"/>
        <w:right w:val="single" w:sz="4" w:space="0" w:color="FFFFFF"/>
      </w:pBdr>
      <w:spacing w:before="100" w:beforeAutospacing="1" w:after="100" w:afterAutospacing="1" w:line="240" w:lineRule="auto"/>
    </w:pPr>
    <w:rPr>
      <w:rFonts w:ascii="Univers" w:eastAsia="Times New Roman" w:hAnsi="Univers" w:cs="Times New Roman"/>
      <w:b/>
      <w:bCs/>
      <w:color w:val="000000"/>
      <w:sz w:val="18"/>
      <w:szCs w:val="18"/>
      <w:lang w:val="en-GB" w:eastAsia="nl-BE"/>
    </w:rPr>
  </w:style>
  <w:style w:type="paragraph" w:customStyle="1" w:styleId="xl90">
    <w:name w:val="xl90"/>
    <w:basedOn w:val="Normal"/>
    <w:rsid w:val="004701F4"/>
    <w:pPr>
      <w:pBdr>
        <w:top w:val="single" w:sz="4" w:space="0" w:color="auto"/>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en-GB" w:eastAsia="nl-BE"/>
    </w:rPr>
  </w:style>
  <w:style w:type="paragraph" w:customStyle="1" w:styleId="xl91">
    <w:name w:val="xl91"/>
    <w:basedOn w:val="Normal"/>
    <w:rsid w:val="004701F4"/>
    <w:pPr>
      <w:pBdr>
        <w:top w:val="single" w:sz="4" w:space="0" w:color="auto"/>
        <w:left w:val="single" w:sz="4" w:space="0" w:color="FFFFFF"/>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en-GB" w:eastAsia="nl-BE"/>
    </w:rPr>
  </w:style>
  <w:style w:type="paragraph" w:customStyle="1" w:styleId="xl92">
    <w:name w:val="xl92"/>
    <w:basedOn w:val="Normal"/>
    <w:rsid w:val="004701F4"/>
    <w:pPr>
      <w:pBdr>
        <w:top w:val="single" w:sz="4" w:space="0" w:color="auto"/>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en-GB" w:eastAsia="nl-BE"/>
    </w:rPr>
  </w:style>
  <w:style w:type="paragraph" w:customStyle="1" w:styleId="xl93">
    <w:name w:val="xl93"/>
    <w:basedOn w:val="Normal"/>
    <w:rsid w:val="004701F4"/>
    <w:pPr>
      <w:pBdr>
        <w:top w:val="single" w:sz="4" w:space="0" w:color="auto"/>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en-GB" w:eastAsia="nl-BE"/>
    </w:rPr>
  </w:style>
  <w:style w:type="paragraph" w:customStyle="1" w:styleId="xl94">
    <w:name w:val="xl94"/>
    <w:basedOn w:val="Normal"/>
    <w:rsid w:val="004701F4"/>
    <w:pPr>
      <w:pBdr>
        <w:top w:val="single" w:sz="4" w:space="0" w:color="auto"/>
        <w:left w:val="single" w:sz="4" w:space="0" w:color="FFFFFF"/>
        <w:bottom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en-GB" w:eastAsia="nl-BE"/>
    </w:rPr>
  </w:style>
  <w:style w:type="paragraph" w:customStyle="1" w:styleId="xl95">
    <w:name w:val="xl95"/>
    <w:basedOn w:val="Normal"/>
    <w:rsid w:val="00470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en-GB" w:eastAsia="nl-BE"/>
    </w:rPr>
  </w:style>
  <w:style w:type="paragraph" w:customStyle="1" w:styleId="xl96">
    <w:name w:val="xl96"/>
    <w:basedOn w:val="Normal"/>
    <w:rsid w:val="004701F4"/>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18"/>
      <w:szCs w:val="18"/>
      <w:lang w:val="en-GB" w:eastAsia="nl-BE"/>
    </w:rPr>
  </w:style>
  <w:style w:type="paragraph" w:customStyle="1" w:styleId="xl97">
    <w:name w:val="xl97"/>
    <w:basedOn w:val="Normal"/>
    <w:rsid w:val="004701F4"/>
    <w:pPr>
      <w:pBdr>
        <w:top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en-GB" w:eastAsia="nl-BE"/>
    </w:rPr>
  </w:style>
  <w:style w:type="paragraph" w:customStyle="1" w:styleId="xl98">
    <w:name w:val="xl98"/>
    <w:basedOn w:val="Normal"/>
    <w:rsid w:val="004701F4"/>
    <w:pPr>
      <w:pBdr>
        <w:top w:val="single" w:sz="4" w:space="0" w:color="auto"/>
        <w:bottom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en-GB" w:eastAsia="nl-BE"/>
    </w:rPr>
  </w:style>
  <w:style w:type="paragraph" w:customStyle="1" w:styleId="xl99">
    <w:name w:val="xl99"/>
    <w:basedOn w:val="Normal"/>
    <w:rsid w:val="004701F4"/>
    <w:pPr>
      <w:pBdr>
        <w:top w:val="single" w:sz="4" w:space="0" w:color="FFFFFF"/>
        <w:left w:val="single" w:sz="4" w:space="0" w:color="auto"/>
      </w:pBdr>
      <w:spacing w:before="100" w:beforeAutospacing="1" w:after="100" w:afterAutospacing="1" w:line="240" w:lineRule="auto"/>
    </w:pPr>
    <w:rPr>
      <w:rFonts w:ascii="Univers" w:eastAsia="Times New Roman" w:hAnsi="Univers" w:cs="Times New Roman"/>
      <w:color w:val="000000"/>
      <w:sz w:val="24"/>
      <w:szCs w:val="24"/>
      <w:lang w:val="en-GB" w:eastAsia="nl-BE"/>
    </w:rPr>
  </w:style>
  <w:style w:type="paragraph" w:customStyle="1" w:styleId="xl100">
    <w:name w:val="xl100"/>
    <w:basedOn w:val="Normal"/>
    <w:rsid w:val="004701F4"/>
    <w:pPr>
      <w:pBdr>
        <w:top w:val="single" w:sz="4" w:space="0" w:color="FFFFFF"/>
        <w:left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101">
    <w:name w:val="xl101"/>
    <w:basedOn w:val="Normal"/>
    <w:rsid w:val="004701F4"/>
    <w:pPr>
      <w:pBdr>
        <w:top w:val="single" w:sz="4" w:space="0" w:color="FFFFFF"/>
        <w:left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102">
    <w:name w:val="xl102"/>
    <w:basedOn w:val="Normal"/>
    <w:rsid w:val="004701F4"/>
    <w:pPr>
      <w:pBdr>
        <w:lef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103">
    <w:name w:val="xl103"/>
    <w:basedOn w:val="Normal"/>
    <w:rsid w:val="004701F4"/>
    <w:pPr>
      <w:pBdr>
        <w:left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104">
    <w:name w:val="xl104"/>
    <w:basedOn w:val="Normal"/>
    <w:rsid w:val="004701F4"/>
    <w:pPr>
      <w:pBdr>
        <w:top w:val="single" w:sz="4" w:space="0" w:color="auto"/>
      </w:pBdr>
      <w:spacing w:before="100" w:beforeAutospacing="1" w:after="100" w:afterAutospacing="1" w:line="240" w:lineRule="auto"/>
    </w:pPr>
    <w:rPr>
      <w:rFonts w:ascii="Univers" w:eastAsia="Times New Roman" w:hAnsi="Univers" w:cs="Times New Roman"/>
      <w:color w:val="000000"/>
      <w:sz w:val="24"/>
      <w:szCs w:val="24"/>
      <w:lang w:val="en-GB" w:eastAsia="nl-BE"/>
    </w:rPr>
  </w:style>
  <w:style w:type="paragraph" w:customStyle="1" w:styleId="xl105">
    <w:name w:val="xl105"/>
    <w:basedOn w:val="Normal"/>
    <w:rsid w:val="004701F4"/>
    <w:pPr>
      <w:pBdr>
        <w:left w:val="single" w:sz="4" w:space="0" w:color="auto"/>
        <w:bottom w:val="single" w:sz="4" w:space="0" w:color="auto"/>
        <w:right w:val="single" w:sz="4" w:space="0" w:color="auto"/>
      </w:pBdr>
      <w:spacing w:before="100" w:beforeAutospacing="1" w:after="100" w:afterAutospacing="1" w:line="240" w:lineRule="auto"/>
    </w:pPr>
    <w:rPr>
      <w:rFonts w:ascii="Univers" w:eastAsia="Times New Roman" w:hAnsi="Univers" w:cs="Times New Roman"/>
      <w:color w:val="000000"/>
      <w:sz w:val="24"/>
      <w:szCs w:val="24"/>
      <w:lang w:val="en-GB" w:eastAsia="nl-BE"/>
    </w:rPr>
  </w:style>
  <w:style w:type="paragraph" w:customStyle="1" w:styleId="xl106">
    <w:name w:val="xl106"/>
    <w:basedOn w:val="Normal"/>
    <w:rsid w:val="004701F4"/>
    <w:pPr>
      <w:pBdr>
        <w:top w:val="single" w:sz="4" w:space="0" w:color="FFFFFF"/>
        <w:left w:val="single" w:sz="4" w:space="0" w:color="auto"/>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en-GB" w:eastAsia="nl-BE"/>
    </w:rPr>
  </w:style>
  <w:style w:type="paragraph" w:customStyle="1" w:styleId="xl107">
    <w:name w:val="xl107"/>
    <w:basedOn w:val="Normal"/>
    <w:rsid w:val="004701F4"/>
    <w:pPr>
      <w:pBdr>
        <w:top w:val="single" w:sz="4" w:space="0" w:color="FFFFFF"/>
        <w:left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108">
    <w:name w:val="xl108"/>
    <w:basedOn w:val="Normal"/>
    <w:rsid w:val="004701F4"/>
    <w:pPr>
      <w:pBdr>
        <w:top w:val="single" w:sz="4" w:space="0" w:color="FFFFFF"/>
        <w:left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109">
    <w:name w:val="xl109"/>
    <w:basedOn w:val="Normal"/>
    <w:rsid w:val="004701F4"/>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24"/>
      <w:szCs w:val="24"/>
      <w:lang w:val="en-GB" w:eastAsia="nl-BE"/>
    </w:rPr>
  </w:style>
  <w:style w:type="paragraph" w:customStyle="1" w:styleId="xl110">
    <w:name w:val="xl110"/>
    <w:basedOn w:val="Normal"/>
    <w:rsid w:val="004701F4"/>
    <w:pPr>
      <w:pBdr>
        <w:left w:val="single" w:sz="4" w:space="0" w:color="auto"/>
        <w:bottom w:val="single" w:sz="4" w:space="0" w:color="auto"/>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en-GB" w:eastAsia="nl-BE"/>
    </w:rPr>
  </w:style>
  <w:style w:type="paragraph" w:customStyle="1" w:styleId="xl111">
    <w:name w:val="xl111"/>
    <w:basedOn w:val="Normal"/>
    <w:rsid w:val="004701F4"/>
    <w:pPr>
      <w:pBdr>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112">
    <w:name w:val="xl112"/>
    <w:basedOn w:val="Normal"/>
    <w:rsid w:val="004701F4"/>
    <w:pPr>
      <w:pBdr>
        <w:left w:val="single" w:sz="4" w:space="0" w:color="FFFFFF"/>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113">
    <w:name w:val="xl113"/>
    <w:basedOn w:val="Normal"/>
    <w:rsid w:val="004701F4"/>
    <w:pPr>
      <w:pBdr>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114">
    <w:name w:val="xl114"/>
    <w:basedOn w:val="Normal"/>
    <w:rsid w:val="004701F4"/>
    <w:pPr>
      <w:pBdr>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115">
    <w:name w:val="xl115"/>
    <w:basedOn w:val="Normal"/>
    <w:rsid w:val="004701F4"/>
    <w:pPr>
      <w:pBdr>
        <w:left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en-GB" w:eastAsia="nl-BE"/>
    </w:rPr>
  </w:style>
  <w:style w:type="paragraph" w:customStyle="1" w:styleId="xl116">
    <w:name w:val="xl116"/>
    <w:basedOn w:val="Normal"/>
    <w:rsid w:val="004701F4"/>
    <w:pP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en-GB" w:eastAsia="nl-BE"/>
    </w:rPr>
  </w:style>
  <w:style w:type="paragraph" w:customStyle="1" w:styleId="xl117">
    <w:name w:val="xl117"/>
    <w:basedOn w:val="Normal"/>
    <w:rsid w:val="004701F4"/>
    <w:pPr>
      <w:pBdr>
        <w:top w:val="single" w:sz="4" w:space="0" w:color="auto"/>
        <w:lef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en-GB" w:eastAsia="nl-BE"/>
    </w:rPr>
  </w:style>
  <w:style w:type="paragraph" w:customStyle="1" w:styleId="xl118">
    <w:name w:val="xl118"/>
    <w:basedOn w:val="Normal"/>
    <w:rsid w:val="004701F4"/>
    <w:pPr>
      <w:pBdr>
        <w:top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en-GB" w:eastAsia="nl-BE"/>
    </w:rPr>
  </w:style>
  <w:style w:type="paragraph" w:customStyle="1" w:styleId="xl119">
    <w:name w:val="xl119"/>
    <w:basedOn w:val="Normal"/>
    <w:rsid w:val="004701F4"/>
    <w:pPr>
      <w:pBdr>
        <w:top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en-GB" w:eastAsia="nl-BE"/>
    </w:rPr>
  </w:style>
  <w:style w:type="paragraph" w:customStyle="1" w:styleId="xl120">
    <w:name w:val="xl120"/>
    <w:basedOn w:val="Normal"/>
    <w:rsid w:val="004701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en-GB" w:eastAsia="nl-BE"/>
    </w:rPr>
  </w:style>
  <w:style w:type="paragraph" w:customStyle="1" w:styleId="xl121">
    <w:name w:val="xl121"/>
    <w:basedOn w:val="Normal"/>
    <w:rsid w:val="004701F4"/>
    <w:pPr>
      <w:pBdr>
        <w:top w:val="single" w:sz="4" w:space="0" w:color="auto"/>
        <w:bottom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en-GB" w:eastAsia="nl-BE"/>
    </w:rPr>
  </w:style>
  <w:style w:type="paragraph" w:customStyle="1" w:styleId="xl122">
    <w:name w:val="xl122"/>
    <w:basedOn w:val="Normal"/>
    <w:rsid w:val="004701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en-GB" w:eastAsia="nl-BE"/>
    </w:rPr>
  </w:style>
  <w:style w:type="paragraph" w:customStyle="1" w:styleId="xl65">
    <w:name w:val="xl65"/>
    <w:basedOn w:val="Normal"/>
    <w:rsid w:val="004701F4"/>
    <w:pPr>
      <w:spacing w:before="100" w:beforeAutospacing="1" w:after="100" w:afterAutospacing="1" w:line="240" w:lineRule="auto"/>
    </w:pPr>
    <w:rPr>
      <w:rFonts w:ascii="Univers" w:eastAsia="Times New Roman" w:hAnsi="Univers" w:cs="Times New Roman"/>
      <w:color w:val="000000"/>
      <w:sz w:val="24"/>
      <w:szCs w:val="24"/>
      <w:lang w:val="en-GB" w:eastAsia="nl-BE"/>
    </w:rPr>
  </w:style>
  <w:style w:type="paragraph" w:customStyle="1" w:styleId="xl66">
    <w:name w:val="xl66"/>
    <w:basedOn w:val="Normal"/>
    <w:rsid w:val="004701F4"/>
    <w:pPr>
      <w:pBdr>
        <w:left w:val="single" w:sz="4" w:space="0" w:color="auto"/>
      </w:pBdr>
      <w:shd w:val="clear" w:color="000000" w:fill="FFFFFF"/>
      <w:spacing w:before="100" w:beforeAutospacing="1" w:after="100" w:afterAutospacing="1" w:line="240" w:lineRule="auto"/>
    </w:pPr>
    <w:rPr>
      <w:rFonts w:ascii="Univers" w:eastAsia="Times New Roman" w:hAnsi="Univers" w:cs="Times New Roman"/>
      <w:color w:val="000000"/>
      <w:sz w:val="24"/>
      <w:szCs w:val="24"/>
      <w:lang w:val="en-GB" w:eastAsia="nl-BE"/>
    </w:rPr>
  </w:style>
  <w:style w:type="paragraph" w:styleId="Revision">
    <w:name w:val="Revision"/>
    <w:hidden/>
    <w:uiPriority w:val="99"/>
    <w:semiHidden/>
    <w:rsid w:val="004701F4"/>
    <w:pPr>
      <w:spacing w:after="0" w:line="240" w:lineRule="auto"/>
    </w:pPr>
    <w:rPr>
      <w:rFonts w:ascii="Times New Roman" w:eastAsia="Times New Roman" w:hAnsi="Times New Roman" w:cs="Times New Roman"/>
      <w:noProof/>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08660">
      <w:bodyDiv w:val="1"/>
      <w:marLeft w:val="0"/>
      <w:marRight w:val="0"/>
      <w:marTop w:val="0"/>
      <w:marBottom w:val="0"/>
      <w:divBdr>
        <w:top w:val="none" w:sz="0" w:space="0" w:color="auto"/>
        <w:left w:val="none" w:sz="0" w:space="0" w:color="auto"/>
        <w:bottom w:val="none" w:sz="0" w:space="0" w:color="auto"/>
        <w:right w:val="none" w:sz="0" w:space="0" w:color="auto"/>
      </w:divBdr>
    </w:div>
    <w:div w:id="1676957119">
      <w:bodyDiv w:val="1"/>
      <w:marLeft w:val="0"/>
      <w:marRight w:val="0"/>
      <w:marTop w:val="0"/>
      <w:marBottom w:val="0"/>
      <w:divBdr>
        <w:top w:val="none" w:sz="0" w:space="0" w:color="auto"/>
        <w:left w:val="none" w:sz="0" w:space="0" w:color="auto"/>
        <w:bottom w:val="none" w:sz="0" w:space="0" w:color="auto"/>
        <w:right w:val="none" w:sz="0" w:space="0" w:color="auto"/>
      </w:divBdr>
    </w:div>
    <w:div w:id="16840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FilipD\AppData\Local\Microsoft\Windows\INetCache\Content.Outlook\QGRGCV4L\Grafiek%20meubelhandel8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345482875652056E-2"/>
          <c:y val="9.8173009229295963E-2"/>
          <c:w val="0.92939878491376426"/>
          <c:h val="0.7224937967526025"/>
        </c:manualLayout>
      </c:layout>
      <c:barChart>
        <c:barDir val="col"/>
        <c:grouping val="clustered"/>
        <c:varyColors val="0"/>
        <c:ser>
          <c:idx val="1"/>
          <c:order val="0"/>
          <c:tx>
            <c:strRef>
              <c:f>Feuil1!$A$3</c:f>
              <c:strCache>
                <c:ptCount val="1"/>
                <c:pt idx="0">
                  <c:v>Furniture industry</c:v>
                </c:pt>
              </c:strCache>
            </c:strRef>
          </c:tx>
          <c:spPr>
            <a:solidFill>
              <a:srgbClr val="FFC000"/>
            </a:solidFill>
            <a:ln>
              <a:noFill/>
            </a:ln>
            <a:effectLst/>
          </c:spPr>
          <c:invertIfNegative val="0"/>
          <c:dLbls>
            <c:dLbl>
              <c:idx val="8"/>
              <c:layout>
                <c:manualLayout>
                  <c:x val="-8.3745982607144334E-17"/>
                  <c:y val="3.114304471106205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2">
                          <a:lumMod val="50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15:layout>
                    <c:manualLayout>
                      <c:w val="2.8470156336732159E-2"/>
                      <c:h val="0.11463563474938876"/>
                    </c:manualLayout>
                  </c15:layout>
                </c:ext>
                <c:ext xmlns:c16="http://schemas.microsoft.com/office/drawing/2014/chart" uri="{C3380CC4-5D6E-409C-BE32-E72D297353CC}">
                  <c16:uniqueId val="{00000000-CFCE-4245-BA27-9A04ECC6B832}"/>
                </c:ext>
              </c:extLst>
            </c:dLbl>
            <c:dLbl>
              <c:idx val="13"/>
              <c:layout>
                <c:manualLayout>
                  <c:x val="-3.542821318783155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CE-4245-BA27-9A04ECC6B832}"/>
                </c:ext>
              </c:extLst>
            </c:dLbl>
            <c:dLbl>
              <c:idx val="15"/>
              <c:layout>
                <c:manualLayout>
                  <c:x val="2.2840077285785926E-3"/>
                  <c:y val="-8.0081581159264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CE-4245-BA27-9A04ECC6B83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lumMod val="50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Feuil1!$B$1:$T$1</c:f>
              <c:strCache>
                <c:ptCount val="19"/>
                <c:pt idx="0">
                  <c:v>2005 </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6 m 2023</c:v>
                </c:pt>
              </c:strCache>
            </c:strRef>
          </c:cat>
          <c:val>
            <c:numRef>
              <c:f>Feuil1!$B$3:$T$3</c:f>
              <c:numCache>
                <c:formatCode>0.0\ </c:formatCode>
                <c:ptCount val="19"/>
                <c:pt idx="0" formatCode="0.0_)">
                  <c:v>2.2999999999999998</c:v>
                </c:pt>
                <c:pt idx="1">
                  <c:v>0.2</c:v>
                </c:pt>
                <c:pt idx="2">
                  <c:v>3.8</c:v>
                </c:pt>
                <c:pt idx="3">
                  <c:v>-4.8</c:v>
                </c:pt>
                <c:pt idx="4">
                  <c:v>-13</c:v>
                </c:pt>
                <c:pt idx="5">
                  <c:v>0.5</c:v>
                </c:pt>
                <c:pt idx="6">
                  <c:v>4.7</c:v>
                </c:pt>
                <c:pt idx="7" formatCode="0.0">
                  <c:v>4.5999999999999996</c:v>
                </c:pt>
                <c:pt idx="8" formatCode="0.0">
                  <c:v>-4.4000000000000004</c:v>
                </c:pt>
                <c:pt idx="9" formatCode="0.0">
                  <c:v>-2.9</c:v>
                </c:pt>
                <c:pt idx="10" formatCode="0.0">
                  <c:v>-1.3</c:v>
                </c:pt>
                <c:pt idx="11" formatCode="#,##0.0_);\(#,##0.0\)">
                  <c:v>2.1</c:v>
                </c:pt>
                <c:pt idx="12" formatCode="#,##0.0">
                  <c:v>-7.3</c:v>
                </c:pt>
                <c:pt idx="13" formatCode="#,##0.0">
                  <c:v>-1.4</c:v>
                </c:pt>
                <c:pt idx="14" formatCode="General">
                  <c:v>0.3</c:v>
                </c:pt>
                <c:pt idx="15" formatCode="General">
                  <c:v>-1.2</c:v>
                </c:pt>
                <c:pt idx="16" formatCode="General">
                  <c:v>9.9</c:v>
                </c:pt>
                <c:pt idx="17" formatCode="General">
                  <c:v>-0.4</c:v>
                </c:pt>
                <c:pt idx="18" formatCode="General">
                  <c:v>-5.6</c:v>
                </c:pt>
              </c:numCache>
            </c:numRef>
          </c:val>
          <c:extLst>
            <c:ext xmlns:c16="http://schemas.microsoft.com/office/drawing/2014/chart" uri="{C3380CC4-5D6E-409C-BE32-E72D297353CC}">
              <c16:uniqueId val="{00000003-CFCE-4245-BA27-9A04ECC6B832}"/>
            </c:ext>
          </c:extLst>
        </c:ser>
        <c:dLbls>
          <c:showLegendKey val="0"/>
          <c:showVal val="0"/>
          <c:showCatName val="0"/>
          <c:showSerName val="0"/>
          <c:showPercent val="0"/>
          <c:showBubbleSize val="0"/>
        </c:dLbls>
        <c:gapWidth val="80"/>
        <c:axId val="356785456"/>
        <c:axId val="646411328"/>
      </c:barChart>
      <c:catAx>
        <c:axId val="3567854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646411328"/>
        <c:crosses val="autoZero"/>
        <c:auto val="1"/>
        <c:lblAlgn val="ctr"/>
        <c:lblOffset val="100"/>
        <c:noMultiLvlLbl val="0"/>
      </c:catAx>
      <c:valAx>
        <c:axId val="646411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56785456"/>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366360454943561E-2"/>
          <c:y val="0.18590093328760612"/>
          <c:w val="0.92507523760500066"/>
          <c:h val="0.69258888515566119"/>
        </c:manualLayout>
      </c:layout>
      <c:lineChart>
        <c:grouping val="standard"/>
        <c:varyColors val="0"/>
        <c:ser>
          <c:idx val="0"/>
          <c:order val="0"/>
          <c:spPr>
            <a:ln w="38100">
              <a:solidFill>
                <a:srgbClr val="FFC000"/>
              </a:solidFill>
              <a:prstDash val="solid"/>
            </a:ln>
          </c:spPr>
          <c:marker>
            <c:symbol val="circle"/>
            <c:size val="2"/>
          </c:marker>
          <c:dLbls>
            <c:numFmt formatCode="#,##0.0" sourceLinked="0"/>
            <c:spPr>
              <a:noFill/>
              <a:ln>
                <a:noFill/>
              </a:ln>
              <a:effectLst/>
            </c:spPr>
            <c:txPr>
              <a:bodyPr wrap="square" lIns="38100" tIns="19050" rIns="38100" bIns="19050" anchor="ctr">
                <a:spAutoFit/>
              </a:bodyPr>
              <a:lstStyle/>
              <a:p>
                <a:pPr>
                  <a:defRPr sz="800" b="1"/>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PRODKAP!$A$58:$A$89</c:f>
              <c:strCache>
                <c:ptCount val="32"/>
                <c:pt idx="0">
                  <c:v>III/15</c:v>
                </c:pt>
                <c:pt idx="1">
                  <c:v>IV/15</c:v>
                </c:pt>
                <c:pt idx="2">
                  <c:v>I/16</c:v>
                </c:pt>
                <c:pt idx="3">
                  <c:v>II/16</c:v>
                </c:pt>
                <c:pt idx="4">
                  <c:v>III/16</c:v>
                </c:pt>
                <c:pt idx="5">
                  <c:v>IV/16</c:v>
                </c:pt>
                <c:pt idx="6">
                  <c:v>I/17</c:v>
                </c:pt>
                <c:pt idx="7">
                  <c:v>II/17</c:v>
                </c:pt>
                <c:pt idx="8">
                  <c:v>III/17</c:v>
                </c:pt>
                <c:pt idx="9">
                  <c:v>IV/17</c:v>
                </c:pt>
                <c:pt idx="10">
                  <c:v>I/18</c:v>
                </c:pt>
                <c:pt idx="11">
                  <c:v>II/18</c:v>
                </c:pt>
                <c:pt idx="12">
                  <c:v>III/18</c:v>
                </c:pt>
                <c:pt idx="13">
                  <c:v>IV/18</c:v>
                </c:pt>
                <c:pt idx="14">
                  <c:v>I/19</c:v>
                </c:pt>
                <c:pt idx="15">
                  <c:v>II/19</c:v>
                </c:pt>
                <c:pt idx="16">
                  <c:v>III/19</c:v>
                </c:pt>
                <c:pt idx="17">
                  <c:v>IV/19</c:v>
                </c:pt>
                <c:pt idx="18">
                  <c:v>I/20</c:v>
                </c:pt>
                <c:pt idx="19">
                  <c:v>II/20</c:v>
                </c:pt>
                <c:pt idx="20">
                  <c:v>III/20</c:v>
                </c:pt>
                <c:pt idx="21">
                  <c:v>IV/20</c:v>
                </c:pt>
                <c:pt idx="22">
                  <c:v>I/21</c:v>
                </c:pt>
                <c:pt idx="23">
                  <c:v>II/21</c:v>
                </c:pt>
                <c:pt idx="24">
                  <c:v>III/21</c:v>
                </c:pt>
                <c:pt idx="25">
                  <c:v>IV/21</c:v>
                </c:pt>
                <c:pt idx="26">
                  <c:v>I/22</c:v>
                </c:pt>
                <c:pt idx="27">
                  <c:v>II/22</c:v>
                </c:pt>
                <c:pt idx="28">
                  <c:v>III/22</c:v>
                </c:pt>
                <c:pt idx="29">
                  <c:v>IV/22</c:v>
                </c:pt>
                <c:pt idx="30">
                  <c:v>I/23</c:v>
                </c:pt>
                <c:pt idx="31">
                  <c:v>II/23</c:v>
                </c:pt>
              </c:strCache>
            </c:strRef>
          </c:cat>
          <c:val>
            <c:numRef>
              <c:f>PRODKAP!$B$58:$B$89</c:f>
              <c:numCache>
                <c:formatCode>0.0</c:formatCode>
                <c:ptCount val="32"/>
                <c:pt idx="0">
                  <c:v>82.5</c:v>
                </c:pt>
                <c:pt idx="1">
                  <c:v>82.88</c:v>
                </c:pt>
                <c:pt idx="2">
                  <c:v>81.2</c:v>
                </c:pt>
                <c:pt idx="3">
                  <c:v>80.099999999999994</c:v>
                </c:pt>
                <c:pt idx="4">
                  <c:v>80.8</c:v>
                </c:pt>
                <c:pt idx="5">
                  <c:v>80.3</c:v>
                </c:pt>
                <c:pt idx="6" formatCode="0.00">
                  <c:v>82.5</c:v>
                </c:pt>
                <c:pt idx="7" formatCode="0.00">
                  <c:v>80.3</c:v>
                </c:pt>
                <c:pt idx="8" formatCode="0.00">
                  <c:v>79</c:v>
                </c:pt>
                <c:pt idx="9" formatCode="0.00">
                  <c:v>75</c:v>
                </c:pt>
                <c:pt idx="10" formatCode="0.00">
                  <c:v>80.900000000000006</c:v>
                </c:pt>
                <c:pt idx="11" formatCode="0.00">
                  <c:v>79.900000000000006</c:v>
                </c:pt>
                <c:pt idx="12" formatCode="0.00">
                  <c:v>82</c:v>
                </c:pt>
                <c:pt idx="13" formatCode="0.00">
                  <c:v>81.5</c:v>
                </c:pt>
                <c:pt idx="14" formatCode="0.00">
                  <c:v>79</c:v>
                </c:pt>
                <c:pt idx="15" formatCode="0.00">
                  <c:v>80.7</c:v>
                </c:pt>
                <c:pt idx="16" formatCode="0.00">
                  <c:v>81.5</c:v>
                </c:pt>
                <c:pt idx="17" formatCode="0.00">
                  <c:v>83.2</c:v>
                </c:pt>
                <c:pt idx="18" formatCode="0.00">
                  <c:v>82</c:v>
                </c:pt>
                <c:pt idx="19" formatCode="0.00">
                  <c:v>84</c:v>
                </c:pt>
                <c:pt idx="20" formatCode="0.00">
                  <c:v>86</c:v>
                </c:pt>
                <c:pt idx="21" formatCode="0.00">
                  <c:v>83.3</c:v>
                </c:pt>
                <c:pt idx="22" formatCode="0.00">
                  <c:v>86.5</c:v>
                </c:pt>
                <c:pt idx="23" formatCode="0.00">
                  <c:v>87.5</c:v>
                </c:pt>
                <c:pt idx="24" formatCode="0.00">
                  <c:v>85.9</c:v>
                </c:pt>
                <c:pt idx="25" formatCode="0.00">
                  <c:v>86.2</c:v>
                </c:pt>
                <c:pt idx="26" formatCode="0.00">
                  <c:v>83.4</c:v>
                </c:pt>
                <c:pt idx="27" formatCode="0.00">
                  <c:v>89</c:v>
                </c:pt>
                <c:pt idx="28" formatCode="0.00">
                  <c:v>80.2</c:v>
                </c:pt>
                <c:pt idx="29" formatCode="0.00">
                  <c:v>76.5</c:v>
                </c:pt>
                <c:pt idx="30" formatCode="0.00">
                  <c:v>75.900000000000006</c:v>
                </c:pt>
                <c:pt idx="31" formatCode="0.00">
                  <c:v>72.5</c:v>
                </c:pt>
              </c:numCache>
            </c:numRef>
          </c:val>
          <c:smooth val="0"/>
          <c:extLst>
            <c:ext xmlns:c16="http://schemas.microsoft.com/office/drawing/2014/chart" uri="{C3380CC4-5D6E-409C-BE32-E72D297353CC}">
              <c16:uniqueId val="{00000000-119E-44CB-B3FE-F1F55BB69278}"/>
            </c:ext>
          </c:extLst>
        </c:ser>
        <c:dLbls>
          <c:dLblPos val="t"/>
          <c:showLegendKey val="0"/>
          <c:showVal val="1"/>
          <c:showCatName val="0"/>
          <c:showSerName val="0"/>
          <c:showPercent val="0"/>
          <c:showBubbleSize val="0"/>
        </c:dLbls>
        <c:marker val="1"/>
        <c:smooth val="0"/>
        <c:axId val="646410544"/>
        <c:axId val="646412504"/>
      </c:lineChart>
      <c:catAx>
        <c:axId val="646410544"/>
        <c:scaling>
          <c:orientation val="minMax"/>
        </c:scaling>
        <c:delete val="0"/>
        <c:axPos val="b"/>
        <c:numFmt formatCode="General" sourceLinked="1"/>
        <c:majorTickMark val="out"/>
        <c:minorTickMark val="none"/>
        <c:tickLblPos val="nextTo"/>
        <c:spPr>
          <a:ln w="1963">
            <a:solidFill>
              <a:srgbClr val="000000"/>
            </a:solidFill>
            <a:prstDash val="solid"/>
          </a:ln>
        </c:spPr>
        <c:txPr>
          <a:bodyPr rot="0" vert="horz"/>
          <a:lstStyle/>
          <a:p>
            <a:pPr>
              <a:defRPr sz="500"/>
            </a:pPr>
            <a:endParaRPr lang="fr-FR"/>
          </a:p>
        </c:txPr>
        <c:crossAx val="646412504"/>
        <c:crosses val="autoZero"/>
        <c:auto val="1"/>
        <c:lblAlgn val="ctr"/>
        <c:lblOffset val="100"/>
        <c:tickLblSkip val="1"/>
        <c:tickMarkSkip val="1"/>
        <c:noMultiLvlLbl val="0"/>
      </c:catAx>
      <c:valAx>
        <c:axId val="646412504"/>
        <c:scaling>
          <c:orientation val="minMax"/>
          <c:min val="60"/>
        </c:scaling>
        <c:delete val="0"/>
        <c:axPos val="l"/>
        <c:majorGridlines>
          <c:spPr>
            <a:ln w="1963">
              <a:solidFill>
                <a:srgbClr val="000000"/>
              </a:solidFill>
              <a:prstDash val="sysDot"/>
            </a:ln>
          </c:spPr>
        </c:majorGridlines>
        <c:title>
          <c:tx>
            <c:rich>
              <a:bodyPr rot="0" vert="horz"/>
              <a:lstStyle/>
              <a:p>
                <a:pPr algn="ctr" rtl="0">
                  <a:defRPr/>
                </a:pPr>
                <a:r>
                  <a:rPr lang="en-GB"/>
                  <a:t>in %</a:t>
                </a:r>
              </a:p>
            </c:rich>
          </c:tx>
          <c:layout>
            <c:manualLayout>
              <c:xMode val="edge"/>
              <c:yMode val="edge"/>
              <c:x val="1.1873609504026416E-2"/>
              <c:y val="6.6370136189310633E-2"/>
            </c:manualLayout>
          </c:layout>
          <c:overlay val="0"/>
          <c:spPr>
            <a:noFill/>
            <a:ln w="22404">
              <a:noFill/>
            </a:ln>
          </c:spPr>
        </c:title>
        <c:numFmt formatCode="0" sourceLinked="0"/>
        <c:majorTickMark val="out"/>
        <c:minorTickMark val="none"/>
        <c:tickLblPos val="nextTo"/>
        <c:spPr>
          <a:ln w="1963">
            <a:solidFill>
              <a:srgbClr val="000000"/>
            </a:solidFill>
            <a:prstDash val="solid"/>
          </a:ln>
        </c:spPr>
        <c:txPr>
          <a:bodyPr rot="0" vert="horz"/>
          <a:lstStyle/>
          <a:p>
            <a:pPr>
              <a:defRPr/>
            </a:pPr>
            <a:endParaRPr lang="fr-FR"/>
          </a:p>
        </c:txPr>
        <c:crossAx val="646410544"/>
        <c:crosses val="autoZero"/>
        <c:crossBetween val="between"/>
      </c:valAx>
      <c:spPr>
        <a:noFill/>
        <a:ln w="1963">
          <a:solidFill>
            <a:srgbClr val="000000"/>
          </a:solidFill>
          <a:prstDash val="solid"/>
        </a:ln>
      </c:spPr>
    </c:plotArea>
    <c:plotVisOnly val="1"/>
    <c:dispBlanksAs val="gap"/>
    <c:showDLblsOverMax val="0"/>
  </c:chart>
  <c:spPr>
    <a:noFill/>
    <a:ln>
      <a:noFill/>
    </a:ln>
  </c:spPr>
  <c:txPr>
    <a:bodyPr/>
    <a:lstStyle/>
    <a:p>
      <a:pPr>
        <a:defRPr sz="1000" b="0" i="0" u="none" strike="noStrike" baseline="0">
          <a:solidFill>
            <a:srgbClr val="000000"/>
          </a:solidFill>
          <a:latin typeface="Calibri" pitchFamily="34" charset="0"/>
          <a:ea typeface="Myriad Pro"/>
          <a:cs typeface="Calibri" pitchFamily="34" charset="0"/>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0">
              <a:defRPr/>
            </a:pPr>
            <a:r>
              <a:rPr lang="en-GB" sz="1100"/>
              <a:t>Furniture industry orders received over time </a:t>
            </a:r>
          </a:p>
          <a:p>
            <a:pPr rtl="0">
              <a:defRPr/>
            </a:pPr>
            <a:r>
              <a:rPr lang="en-GB" sz="1100"/>
              <a:t>(cumul 8 m 2023 = +11.3%)</a:t>
            </a:r>
          </a:p>
        </c:rich>
      </c:tx>
      <c:layout>
        <c:manualLayout>
          <c:xMode val="edge"/>
          <c:yMode val="edge"/>
          <c:x val="0.33856792043867406"/>
          <c:y val="1.6869095816464237E-2"/>
        </c:manualLayout>
      </c:layout>
      <c:overlay val="0"/>
    </c:title>
    <c:autoTitleDeleted val="0"/>
    <c:plotArea>
      <c:layout>
        <c:manualLayout>
          <c:layoutTarget val="inner"/>
          <c:xMode val="edge"/>
          <c:yMode val="edge"/>
          <c:x val="0.10127624671916011"/>
          <c:y val="0.10997929290903849"/>
          <c:w val="0.89872371780879601"/>
          <c:h val="0.8518778725580628"/>
        </c:manualLayout>
      </c:layout>
      <c:barChart>
        <c:barDir val="col"/>
        <c:grouping val="clustered"/>
        <c:varyColors val="0"/>
        <c:ser>
          <c:idx val="0"/>
          <c:order val="0"/>
          <c:spPr>
            <a:solidFill>
              <a:srgbClr val="FFC000"/>
            </a:solidFill>
            <a:ln w="25400">
              <a:noFill/>
            </a:ln>
          </c:spPr>
          <c:invertIfNegative val="0"/>
          <c:dLbls>
            <c:numFmt formatCode="#,##0.0" sourceLinked="0"/>
            <c:spPr>
              <a:noFill/>
              <a:ln w="25400">
                <a:noFill/>
              </a:ln>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Blad1!$A$6:$A$37</c:f>
              <c:strCache>
                <c:ptCount val="32"/>
                <c:pt idx="0">
                  <c:v>J 2021</c:v>
                </c:pt>
                <c:pt idx="1">
                  <c:v>F</c:v>
                </c:pt>
                <c:pt idx="2">
                  <c:v>M</c:v>
                </c:pt>
                <c:pt idx="3">
                  <c:v>A</c:v>
                </c:pt>
                <c:pt idx="4">
                  <c:v>M</c:v>
                </c:pt>
                <c:pt idx="5">
                  <c:v>J</c:v>
                </c:pt>
                <c:pt idx="6">
                  <c:v>J</c:v>
                </c:pt>
                <c:pt idx="7">
                  <c:v>A</c:v>
                </c:pt>
                <c:pt idx="8">
                  <c:v>S</c:v>
                </c:pt>
                <c:pt idx="9">
                  <c:v>O</c:v>
                </c:pt>
                <c:pt idx="10">
                  <c:v>N</c:v>
                </c:pt>
                <c:pt idx="11">
                  <c:v>D</c:v>
                </c:pt>
                <c:pt idx="12">
                  <c:v>J 2022</c:v>
                </c:pt>
                <c:pt idx="13">
                  <c:v>F</c:v>
                </c:pt>
                <c:pt idx="14">
                  <c:v>M</c:v>
                </c:pt>
                <c:pt idx="15">
                  <c:v>A</c:v>
                </c:pt>
                <c:pt idx="16">
                  <c:v>M</c:v>
                </c:pt>
                <c:pt idx="17">
                  <c:v>J</c:v>
                </c:pt>
                <c:pt idx="18">
                  <c:v>J</c:v>
                </c:pt>
                <c:pt idx="19">
                  <c:v>A</c:v>
                </c:pt>
                <c:pt idx="20">
                  <c:v>S</c:v>
                </c:pt>
                <c:pt idx="21">
                  <c:v>O</c:v>
                </c:pt>
                <c:pt idx="22">
                  <c:v>N</c:v>
                </c:pt>
                <c:pt idx="23">
                  <c:v>D</c:v>
                </c:pt>
                <c:pt idx="24">
                  <c:v>J 2023</c:v>
                </c:pt>
                <c:pt idx="25">
                  <c:v>F</c:v>
                </c:pt>
                <c:pt idx="26">
                  <c:v>M</c:v>
                </c:pt>
                <c:pt idx="27">
                  <c:v>A</c:v>
                </c:pt>
                <c:pt idx="28">
                  <c:v>M</c:v>
                </c:pt>
                <c:pt idx="29">
                  <c:v>J</c:v>
                </c:pt>
                <c:pt idx="30">
                  <c:v>J</c:v>
                </c:pt>
                <c:pt idx="31">
                  <c:v>A</c:v>
                </c:pt>
              </c:strCache>
            </c:strRef>
          </c:cat>
          <c:val>
            <c:numRef>
              <c:f>Blad1!$B$6:$B$37</c:f>
              <c:numCache>
                <c:formatCode>0.0</c:formatCode>
                <c:ptCount val="32"/>
                <c:pt idx="0">
                  <c:v>-1</c:v>
                </c:pt>
                <c:pt idx="1">
                  <c:v>1</c:v>
                </c:pt>
                <c:pt idx="2">
                  <c:v>114.4</c:v>
                </c:pt>
                <c:pt idx="3">
                  <c:v>383.1</c:v>
                </c:pt>
                <c:pt idx="4">
                  <c:v>23.6</c:v>
                </c:pt>
                <c:pt idx="5">
                  <c:v>-22.1</c:v>
                </c:pt>
                <c:pt idx="6">
                  <c:v>8.8000000000000007</c:v>
                </c:pt>
                <c:pt idx="7">
                  <c:v>-7.8</c:v>
                </c:pt>
                <c:pt idx="8">
                  <c:v>-11.4</c:v>
                </c:pt>
                <c:pt idx="9">
                  <c:v>-13</c:v>
                </c:pt>
                <c:pt idx="10">
                  <c:v>108.3</c:v>
                </c:pt>
                <c:pt idx="11">
                  <c:v>4.9000000000000004</c:v>
                </c:pt>
                <c:pt idx="12">
                  <c:v>6.1</c:v>
                </c:pt>
                <c:pt idx="13">
                  <c:v>-12</c:v>
                </c:pt>
                <c:pt idx="14">
                  <c:v>-14.4</c:v>
                </c:pt>
                <c:pt idx="15">
                  <c:v>19.100000000000001</c:v>
                </c:pt>
                <c:pt idx="16">
                  <c:v>-14.8</c:v>
                </c:pt>
                <c:pt idx="17">
                  <c:v>0.1</c:v>
                </c:pt>
                <c:pt idx="18">
                  <c:v>-10</c:v>
                </c:pt>
                <c:pt idx="19">
                  <c:v>-2.8</c:v>
                </c:pt>
                <c:pt idx="20">
                  <c:v>18.399999999999999</c:v>
                </c:pt>
                <c:pt idx="21">
                  <c:v>7.4</c:v>
                </c:pt>
                <c:pt idx="22">
                  <c:v>-6.3</c:v>
                </c:pt>
                <c:pt idx="23">
                  <c:v>11.9</c:v>
                </c:pt>
                <c:pt idx="24">
                  <c:v>4.7</c:v>
                </c:pt>
                <c:pt idx="25">
                  <c:v>14.2</c:v>
                </c:pt>
                <c:pt idx="26">
                  <c:v>24.6</c:v>
                </c:pt>
                <c:pt idx="27">
                  <c:v>9.1</c:v>
                </c:pt>
                <c:pt idx="28">
                  <c:v>6.8</c:v>
                </c:pt>
                <c:pt idx="29">
                  <c:v>0.7</c:v>
                </c:pt>
                <c:pt idx="30">
                  <c:v>19.899999999999999</c:v>
                </c:pt>
                <c:pt idx="31">
                  <c:v>11.2</c:v>
                </c:pt>
              </c:numCache>
            </c:numRef>
          </c:val>
          <c:extLst>
            <c:ext xmlns:c16="http://schemas.microsoft.com/office/drawing/2014/chart" uri="{C3380CC4-5D6E-409C-BE32-E72D297353CC}">
              <c16:uniqueId val="{00000000-60B7-4198-8E84-B2A9D02B83AF}"/>
            </c:ext>
          </c:extLst>
        </c:ser>
        <c:dLbls>
          <c:showLegendKey val="0"/>
          <c:showVal val="0"/>
          <c:showCatName val="0"/>
          <c:showSerName val="0"/>
          <c:showPercent val="0"/>
          <c:showBubbleSize val="0"/>
        </c:dLbls>
        <c:gapWidth val="219"/>
        <c:overlap val="-27"/>
        <c:axId val="646409760"/>
        <c:axId val="646408976"/>
      </c:barChart>
      <c:catAx>
        <c:axId val="64640976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fr-FR"/>
          </a:p>
        </c:txPr>
        <c:crossAx val="646408976"/>
        <c:crosses val="autoZero"/>
        <c:auto val="1"/>
        <c:lblAlgn val="ctr"/>
        <c:lblOffset val="100"/>
        <c:noMultiLvlLbl val="0"/>
      </c:catAx>
      <c:valAx>
        <c:axId val="646408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rtl="0">
                  <a:defRPr/>
                </a:pPr>
                <a:r>
                  <a:rPr lang="en-GB"/>
                  <a:t>in %</a:t>
                </a:r>
              </a:p>
            </c:rich>
          </c:tx>
          <c:overlay val="0"/>
        </c:title>
        <c:numFmt formatCode="0" sourceLinked="0"/>
        <c:majorTickMark val="out"/>
        <c:minorTickMark val="none"/>
        <c:tickLblPos val="nextTo"/>
        <c:spPr>
          <a:ln w="9525">
            <a:noFill/>
          </a:ln>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crossAx val="64640976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0.39164</cdr:x>
      <cdr:y>0.36201</cdr:y>
    </cdr:from>
    <cdr:to>
      <cdr:x>0.40825</cdr:x>
      <cdr:y>0.51296</cdr:y>
    </cdr:to>
    <cdr:sp macro="" textlink="">
      <cdr:nvSpPr>
        <cdr:cNvPr id="2" name="ZoneTexte 3">
          <a:extLst xmlns:a="http://schemas.openxmlformats.org/drawingml/2006/main">
            <a:ext uri="{FF2B5EF4-FFF2-40B4-BE49-F238E27FC236}">
              <a16:creationId xmlns:a16="http://schemas.microsoft.com/office/drawing/2014/main" id="{2CD5FDB1-5878-4319-8154-C548E49BC367}"/>
            </a:ext>
          </a:extLst>
        </cdr:cNvPr>
        <cdr:cNvSpPr txBox="1"/>
      </cdr:nvSpPr>
      <cdr:spPr>
        <a:xfrm xmlns:a="http://schemas.openxmlformats.org/drawingml/2006/main">
          <a:off x="4355351" y="1550080"/>
          <a:ext cx="184731" cy="646331"/>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endParaRPr lang="fr-BE" sz="3600" dirty="0">
            <a:highlight>
              <a:srgbClr val="FFFF00"/>
            </a:highlight>
          </a:endParaRPr>
        </a:p>
      </cdr:txBody>
    </cdr:sp>
  </cdr:relSizeAnchor>
  <cdr:relSizeAnchor xmlns:cdr="http://schemas.openxmlformats.org/drawingml/2006/chartDrawing">
    <cdr:from>
      <cdr:x>0</cdr:x>
      <cdr:y>0.00365</cdr:y>
    </cdr:from>
    <cdr:to>
      <cdr:x>0.06338</cdr:x>
      <cdr:y>0.09658</cdr:y>
    </cdr:to>
    <cdr:sp macro="" textlink="">
      <cdr:nvSpPr>
        <cdr:cNvPr id="3" name="ZoneTexte 13">
          <a:extLst xmlns:a="http://schemas.openxmlformats.org/drawingml/2006/main">
            <a:ext uri="{FF2B5EF4-FFF2-40B4-BE49-F238E27FC236}">
              <a16:creationId xmlns:a16="http://schemas.microsoft.com/office/drawing/2014/main" id="{4BE815A8-3EB5-4D0F-9A2E-12355DF5FA89}"/>
            </a:ext>
          </a:extLst>
        </cdr:cNvPr>
        <cdr:cNvSpPr txBox="1"/>
      </cdr:nvSpPr>
      <cdr:spPr>
        <a:xfrm xmlns:a="http://schemas.openxmlformats.org/drawingml/2006/main">
          <a:off x="-903180" y="8996"/>
          <a:ext cx="365100" cy="229007"/>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800" b="1" i="0" u="none" strike="noStrike" kern="1200" cap="none" spc="0" normalizeH="0" baseline="0">
              <a:ln>
                <a:noFill/>
              </a:ln>
              <a:solidFill>
                <a:prstClr val="black"/>
              </a:solidFill>
              <a:effectLst/>
              <a:uLnTx/>
              <a:uFillTx/>
              <a:latin typeface="Calibri" panose="020F0502020204030204"/>
              <a:ea typeface="+mn-ea"/>
              <a:cs typeface="+mn-cs"/>
            </a:rPr>
            <a:t>In %</a:t>
          </a:r>
        </a:p>
      </cdr:txBody>
    </cdr:sp>
  </cdr:relSizeAnchor>
  <cdr:relSizeAnchor xmlns:cdr="http://schemas.openxmlformats.org/drawingml/2006/chartDrawing">
    <cdr:from>
      <cdr:x>0</cdr:x>
      <cdr:y>0</cdr:y>
    </cdr:from>
    <cdr:to>
      <cdr:x>1</cdr:x>
      <cdr:y>0.1137</cdr:y>
    </cdr:to>
    <cdr:sp macro="" textlink="">
      <cdr:nvSpPr>
        <cdr:cNvPr id="4" name="ZoneTexte 11"/>
        <cdr:cNvSpPr txBox="1"/>
      </cdr:nvSpPr>
      <cdr:spPr>
        <a:xfrm xmlns:a="http://schemas.openxmlformats.org/drawingml/2006/main">
          <a:off x="0" y="0"/>
          <a:ext cx="5760085" cy="280205"/>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kumimoji="0" lang="en-GB" sz="1200" b="1" i="0" u="none" strike="noStrike" kern="1200" cap="none" spc="0" normalizeH="0" baseline="0">
              <a:ln>
                <a:noFill/>
              </a:ln>
              <a:solidFill>
                <a:srgbClr val="3E3F2C"/>
              </a:solidFill>
              <a:effectLst/>
              <a:uLnTx/>
              <a:uFillTx/>
              <a:latin typeface="Calibri" panose="020F0502020204030204"/>
              <a:ea typeface="+mn-ea"/>
              <a:cs typeface="+mn-cs"/>
            </a:rPr>
            <a:t>Turnover growth rates in the Belgian furniture industry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3998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Hibert</dc:creator>
  <cp:keywords/>
  <dc:description/>
  <cp:lastModifiedBy>Thomas Hibert</cp:lastModifiedBy>
  <cp:revision>18</cp:revision>
  <cp:lastPrinted>2023-11-01T12:44:00Z</cp:lastPrinted>
  <dcterms:created xsi:type="dcterms:W3CDTF">2023-11-04T08:03:00Z</dcterms:created>
  <dcterms:modified xsi:type="dcterms:W3CDTF">2023-11-06T08:16:00Z</dcterms:modified>
</cp:coreProperties>
</file>