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8C0F2" w14:textId="42A56880" w:rsidR="001824C8" w:rsidRPr="007E64B9" w:rsidRDefault="006D25B8" w:rsidP="008830E9">
      <w:pPr>
        <w:jc w:val="both"/>
        <w:rPr>
          <w:sz w:val="24"/>
          <w:szCs w:val="24"/>
          <w:lang w:val="en-GB"/>
        </w:rPr>
      </w:pPr>
      <w:r w:rsidRPr="007E64B9">
        <w:rPr>
          <w:noProof/>
          <w:sz w:val="24"/>
          <w:szCs w:val="24"/>
          <w:lang w:val="en-GB"/>
        </w:rPr>
        <w:drawing>
          <wp:inline distT="0" distB="0" distL="0" distR="0" wp14:anchorId="5EA6BBCF" wp14:editId="39C041E5">
            <wp:extent cx="4195068" cy="1266825"/>
            <wp:effectExtent l="0" t="0" r="0" b="0"/>
            <wp:docPr id="2026632419" name="Picture 1" descr="A person standing in front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32419" name="Picture 1" descr="A person standing in front of a sig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4262680" cy="1287242"/>
                    </a:xfrm>
                    <a:prstGeom prst="rect">
                      <a:avLst/>
                    </a:prstGeom>
                  </pic:spPr>
                </pic:pic>
              </a:graphicData>
            </a:graphic>
          </wp:inline>
        </w:drawing>
      </w:r>
    </w:p>
    <w:p w14:paraId="165BFB86" w14:textId="6757576E" w:rsidR="006D25B8" w:rsidRPr="007E64B9" w:rsidRDefault="00EA7C48" w:rsidP="008830E9">
      <w:pPr>
        <w:jc w:val="both"/>
        <w:rPr>
          <w:b/>
          <w:bCs/>
          <w:sz w:val="24"/>
          <w:szCs w:val="24"/>
          <w:lang w:val="en-GB"/>
        </w:rPr>
      </w:pPr>
      <w:r w:rsidRPr="007E64B9">
        <w:rPr>
          <w:b/>
          <w:bCs/>
          <w:sz w:val="24"/>
          <w:szCs w:val="24"/>
          <w:lang w:val="en-GB"/>
        </w:rPr>
        <w:t xml:space="preserve">BRUSSELS </w:t>
      </w:r>
      <w:r w:rsidR="00525959" w:rsidRPr="007E64B9">
        <w:rPr>
          <w:b/>
          <w:bCs/>
          <w:sz w:val="24"/>
          <w:szCs w:val="24"/>
          <w:lang w:val="en-GB"/>
        </w:rPr>
        <w:t xml:space="preserve">FURNITURE FAIR </w:t>
      </w:r>
      <w:r w:rsidRPr="007E64B9">
        <w:rPr>
          <w:b/>
          <w:bCs/>
          <w:sz w:val="24"/>
          <w:szCs w:val="24"/>
          <w:lang w:val="en-GB"/>
        </w:rPr>
        <w:t>–</w:t>
      </w:r>
      <w:r w:rsidR="00525959" w:rsidRPr="007E64B9">
        <w:rPr>
          <w:b/>
          <w:bCs/>
          <w:sz w:val="24"/>
          <w:szCs w:val="24"/>
          <w:lang w:val="en-GB"/>
        </w:rPr>
        <w:t xml:space="preserve"> PRESS CONFERENCE </w:t>
      </w:r>
      <w:r w:rsidR="006D25B8" w:rsidRPr="007E64B9">
        <w:rPr>
          <w:b/>
          <w:bCs/>
          <w:sz w:val="24"/>
          <w:szCs w:val="24"/>
          <w:lang w:val="en-GB"/>
        </w:rPr>
        <w:t>2024</w:t>
      </w:r>
    </w:p>
    <w:p w14:paraId="0D5EBE31" w14:textId="19C5979E" w:rsidR="006D25B8" w:rsidRPr="007E64B9" w:rsidRDefault="006D25B8" w:rsidP="008830E9">
      <w:pPr>
        <w:jc w:val="both"/>
        <w:rPr>
          <w:sz w:val="24"/>
          <w:szCs w:val="24"/>
          <w:lang w:val="en-GB"/>
        </w:rPr>
      </w:pPr>
    </w:p>
    <w:p w14:paraId="561A113E" w14:textId="2A0424CE" w:rsidR="006D25B8" w:rsidRPr="007E64B9" w:rsidRDefault="00525959" w:rsidP="008830E9">
      <w:pPr>
        <w:pStyle w:val="ListParagraph"/>
        <w:numPr>
          <w:ilvl w:val="0"/>
          <w:numId w:val="2"/>
        </w:numPr>
        <w:jc w:val="both"/>
        <w:rPr>
          <w:sz w:val="24"/>
          <w:szCs w:val="24"/>
          <w:lang w:val="en-GB"/>
        </w:rPr>
      </w:pPr>
      <w:r w:rsidRPr="007E64B9">
        <w:rPr>
          <w:sz w:val="24"/>
          <w:szCs w:val="24"/>
          <w:lang w:val="en-GB"/>
        </w:rPr>
        <w:t xml:space="preserve">Welcome by </w:t>
      </w:r>
      <w:r w:rsidR="00D62B7A">
        <w:rPr>
          <w:sz w:val="24"/>
          <w:szCs w:val="24"/>
          <w:lang w:val="en-GB"/>
        </w:rPr>
        <w:t>Thomas Hibert</w:t>
      </w:r>
      <w:r w:rsidR="00EA7C48" w:rsidRPr="007E64B9">
        <w:rPr>
          <w:sz w:val="24"/>
          <w:szCs w:val="24"/>
          <w:lang w:val="en-GB"/>
        </w:rPr>
        <w:t>,</w:t>
      </w:r>
      <w:r w:rsidR="006D25B8" w:rsidRPr="007E64B9">
        <w:rPr>
          <w:sz w:val="24"/>
          <w:szCs w:val="24"/>
          <w:lang w:val="en-GB"/>
        </w:rPr>
        <w:t xml:space="preserve"> Brussel</w:t>
      </w:r>
      <w:r w:rsidR="00EA7C48" w:rsidRPr="007E64B9">
        <w:rPr>
          <w:sz w:val="24"/>
          <w:szCs w:val="24"/>
          <w:lang w:val="en-GB"/>
        </w:rPr>
        <w:t>s Furniture Fair</w:t>
      </w:r>
    </w:p>
    <w:p w14:paraId="255F8077" w14:textId="737ED201" w:rsidR="004D5C96" w:rsidRPr="007E64B9" w:rsidRDefault="00525959" w:rsidP="008830E9">
      <w:pPr>
        <w:pStyle w:val="ListParagraph"/>
        <w:numPr>
          <w:ilvl w:val="0"/>
          <w:numId w:val="2"/>
        </w:numPr>
        <w:jc w:val="both"/>
        <w:rPr>
          <w:sz w:val="24"/>
          <w:szCs w:val="24"/>
          <w:lang w:val="en-GB"/>
        </w:rPr>
      </w:pPr>
      <w:r w:rsidRPr="007E64B9">
        <w:rPr>
          <w:sz w:val="24"/>
          <w:szCs w:val="24"/>
          <w:lang w:val="en-GB"/>
        </w:rPr>
        <w:t xml:space="preserve">Sector report </w:t>
      </w:r>
      <w:r w:rsidR="006D25B8" w:rsidRPr="007E64B9">
        <w:rPr>
          <w:sz w:val="24"/>
          <w:szCs w:val="24"/>
          <w:lang w:val="en-GB"/>
        </w:rPr>
        <w:t xml:space="preserve">2024, </w:t>
      </w:r>
      <w:r w:rsidRPr="007E64B9">
        <w:rPr>
          <w:sz w:val="24"/>
          <w:szCs w:val="24"/>
          <w:lang w:val="en-GB"/>
        </w:rPr>
        <w:t xml:space="preserve">presentation by </w:t>
      </w:r>
      <w:r w:rsidR="006D25B8" w:rsidRPr="007E64B9">
        <w:rPr>
          <w:sz w:val="24"/>
          <w:szCs w:val="24"/>
          <w:lang w:val="en-GB"/>
        </w:rPr>
        <w:t xml:space="preserve">Filip De Jaeger, COO </w:t>
      </w:r>
      <w:proofErr w:type="spellStart"/>
      <w:r w:rsidR="006D25B8" w:rsidRPr="007E64B9">
        <w:rPr>
          <w:sz w:val="24"/>
          <w:szCs w:val="24"/>
          <w:lang w:val="en-GB"/>
        </w:rPr>
        <w:t>Fedustria</w:t>
      </w:r>
      <w:proofErr w:type="spellEnd"/>
    </w:p>
    <w:p w14:paraId="02619B16" w14:textId="11C78C6C" w:rsidR="00525959" w:rsidRPr="007E64B9" w:rsidRDefault="00525959" w:rsidP="008830E9">
      <w:pPr>
        <w:pStyle w:val="ListParagraph"/>
        <w:numPr>
          <w:ilvl w:val="0"/>
          <w:numId w:val="2"/>
        </w:numPr>
        <w:jc w:val="both"/>
        <w:rPr>
          <w:sz w:val="24"/>
          <w:szCs w:val="24"/>
          <w:lang w:val="en-GB"/>
        </w:rPr>
      </w:pPr>
      <w:r w:rsidRPr="007E64B9">
        <w:rPr>
          <w:sz w:val="24"/>
          <w:szCs w:val="24"/>
          <w:lang w:val="en-GB"/>
        </w:rPr>
        <w:t>Brussels Furniture Fair</w:t>
      </w:r>
      <w:r w:rsidR="00D62B7A">
        <w:rPr>
          <w:sz w:val="24"/>
          <w:szCs w:val="24"/>
          <w:lang w:val="en-GB"/>
        </w:rPr>
        <w:t>, presentation by Glenn De Maeseneer</w:t>
      </w:r>
    </w:p>
    <w:p w14:paraId="7FDF3C61" w14:textId="77777777" w:rsidR="00EC62A2" w:rsidRPr="002E22F8" w:rsidRDefault="00EC62A2" w:rsidP="00EC62A2">
      <w:pPr>
        <w:spacing w:before="120" w:after="120" w:line="240" w:lineRule="auto"/>
        <w:contextualSpacing/>
        <w:rPr>
          <w:rFonts w:cstheme="minorHAnsi"/>
          <w:b/>
          <w:bCs/>
          <w:sz w:val="28"/>
          <w:szCs w:val="28"/>
          <w:lang w:val="en-GB"/>
        </w:rPr>
      </w:pPr>
    </w:p>
    <w:p w14:paraId="321C639A" w14:textId="3EDF415D" w:rsidR="00EC62A2" w:rsidRPr="002E22F8" w:rsidRDefault="00EC62A2" w:rsidP="00864E69">
      <w:pPr>
        <w:spacing w:before="120" w:after="120" w:line="240" w:lineRule="auto"/>
        <w:ind w:left="1068"/>
        <w:contextualSpacing/>
        <w:rPr>
          <w:rFonts w:cstheme="minorHAnsi"/>
          <w:b/>
          <w:bCs/>
          <w:sz w:val="28"/>
          <w:szCs w:val="28"/>
          <w:lang w:val="en-GB"/>
        </w:rPr>
      </w:pPr>
      <w:r>
        <w:rPr>
          <w:rFonts w:cstheme="minorHAnsi"/>
          <w:b/>
          <w:bCs/>
          <w:sz w:val="28"/>
          <w:szCs w:val="28"/>
          <w:lang w:val="en"/>
        </w:rPr>
        <w:t xml:space="preserve">2. </w:t>
      </w:r>
      <w:r w:rsidRPr="00DC3722">
        <w:rPr>
          <w:rFonts w:cstheme="minorHAnsi"/>
          <w:b/>
          <w:bCs/>
          <w:sz w:val="28"/>
          <w:szCs w:val="28"/>
          <w:lang w:val="en"/>
        </w:rPr>
        <w:t>Economic Conditions in the Belgian Furniture Industry in 2023 and First Half of 2024</w:t>
      </w:r>
    </w:p>
    <w:p w14:paraId="0625E949" w14:textId="77777777" w:rsidR="00EC62A2" w:rsidRPr="002E22F8" w:rsidRDefault="00EC62A2" w:rsidP="00EC62A2">
      <w:pPr>
        <w:spacing w:before="120" w:after="120" w:line="240" w:lineRule="auto"/>
        <w:contextualSpacing/>
        <w:rPr>
          <w:rFonts w:cstheme="minorHAnsi"/>
          <w:lang w:val="en-GB"/>
        </w:rPr>
      </w:pPr>
    </w:p>
    <w:p w14:paraId="77733CEE" w14:textId="77777777" w:rsidR="00EC62A2" w:rsidRPr="002E22F8" w:rsidRDefault="00EC62A2" w:rsidP="00EC62A2">
      <w:pPr>
        <w:suppressAutoHyphens/>
        <w:autoSpaceDE w:val="0"/>
        <w:autoSpaceDN w:val="0"/>
        <w:adjustRightInd w:val="0"/>
        <w:spacing w:before="120" w:after="120" w:line="240" w:lineRule="auto"/>
        <w:contextualSpacing/>
        <w:textAlignment w:val="center"/>
        <w:rPr>
          <w:rFonts w:cstheme="minorHAnsi"/>
          <w:b/>
          <w:bCs/>
          <w:color w:val="000000"/>
          <w:lang w:val="en-GB"/>
        </w:rPr>
      </w:pPr>
      <w:r>
        <w:rPr>
          <w:rFonts w:cstheme="minorHAnsi"/>
          <w:b/>
          <w:bCs/>
          <w:color w:val="000000"/>
          <w:lang w:val="en"/>
        </w:rPr>
        <w:t xml:space="preserve">TURNOVER DECLINE DUE TO REDUCED COMPETITIVENESS AND WEAK DEMAND </w:t>
      </w:r>
    </w:p>
    <w:p w14:paraId="1AF56522" w14:textId="77777777" w:rsidR="00EC62A2" w:rsidRPr="002E22F8" w:rsidRDefault="00EC62A2" w:rsidP="00EC62A2">
      <w:pPr>
        <w:suppressAutoHyphens/>
        <w:autoSpaceDE w:val="0"/>
        <w:autoSpaceDN w:val="0"/>
        <w:adjustRightInd w:val="0"/>
        <w:spacing w:after="0" w:line="240" w:lineRule="auto"/>
        <w:contextualSpacing/>
        <w:textAlignment w:val="center"/>
        <w:rPr>
          <w:rFonts w:cstheme="minorHAnsi"/>
          <w:color w:val="000000"/>
          <w:lang w:val="en-GB"/>
        </w:rPr>
      </w:pPr>
    </w:p>
    <w:p w14:paraId="533587C4" w14:textId="77777777" w:rsidR="00EC62A2" w:rsidRPr="002E22F8" w:rsidRDefault="00EC62A2" w:rsidP="00EC62A2">
      <w:pPr>
        <w:spacing w:after="0" w:line="240" w:lineRule="auto"/>
        <w:rPr>
          <w:rFonts w:cstheme="minorHAnsi"/>
          <w:u w:val="single"/>
          <w:lang w:val="en-GB"/>
        </w:rPr>
      </w:pPr>
      <w:r w:rsidRPr="00E66D3F">
        <w:rPr>
          <w:rFonts w:cstheme="minorHAnsi"/>
          <w:u w:val="single"/>
          <w:lang w:val="en"/>
        </w:rPr>
        <w:t>The Belgian Furniture Industry</w:t>
      </w:r>
    </w:p>
    <w:p w14:paraId="47A64FCE" w14:textId="77777777" w:rsidR="00EC62A2" w:rsidRPr="002E22F8" w:rsidRDefault="00EC62A2" w:rsidP="00EC62A2">
      <w:pPr>
        <w:spacing w:after="0" w:line="240" w:lineRule="auto"/>
        <w:rPr>
          <w:rFonts w:cstheme="minorHAnsi"/>
          <w:lang w:val="en-GB"/>
        </w:rPr>
      </w:pPr>
    </w:p>
    <w:p w14:paraId="5250775D" w14:textId="77777777" w:rsidR="00EC62A2" w:rsidRPr="002E22F8" w:rsidRDefault="00EC62A2" w:rsidP="00EC62A2">
      <w:pPr>
        <w:pBdr>
          <w:top w:val="single" w:sz="4" w:space="1" w:color="auto"/>
          <w:left w:val="single" w:sz="4" w:space="1" w:color="auto"/>
          <w:bottom w:val="single" w:sz="4" w:space="1" w:color="auto"/>
          <w:right w:val="single" w:sz="4" w:space="1" w:color="auto"/>
        </w:pBdr>
        <w:spacing w:after="0" w:line="240" w:lineRule="auto"/>
        <w:rPr>
          <w:lang w:val="en-GB"/>
        </w:rPr>
      </w:pPr>
      <w:r w:rsidRPr="00E66D3F">
        <w:rPr>
          <w:lang w:val="en"/>
        </w:rPr>
        <w:t>Key Figures (2023)</w:t>
      </w:r>
    </w:p>
    <w:p w14:paraId="74000958" w14:textId="77777777" w:rsidR="00EC62A2" w:rsidRPr="002E22F8" w:rsidRDefault="00EC62A2" w:rsidP="00EC62A2">
      <w:pPr>
        <w:pBdr>
          <w:top w:val="single" w:sz="4" w:space="1" w:color="auto"/>
          <w:left w:val="single" w:sz="4" w:space="1" w:color="auto"/>
          <w:bottom w:val="single" w:sz="4" w:space="1" w:color="auto"/>
          <w:right w:val="single" w:sz="4" w:space="1" w:color="auto"/>
        </w:pBdr>
        <w:spacing w:after="0" w:line="240" w:lineRule="auto"/>
        <w:rPr>
          <w:rFonts w:cstheme="minorHAnsi"/>
          <w:sz w:val="14"/>
          <w:lang w:val="en-GB"/>
        </w:rPr>
      </w:pPr>
    </w:p>
    <w:p w14:paraId="407357A6" w14:textId="77777777" w:rsidR="00EC62A2" w:rsidRPr="00E66D3F" w:rsidRDefault="00EC62A2" w:rsidP="00EC62A2">
      <w:pPr>
        <w:pStyle w:val="ListParagraph"/>
        <w:numPr>
          <w:ilvl w:val="0"/>
          <w:numId w:val="12"/>
        </w:numPr>
        <w:pBdr>
          <w:top w:val="single" w:sz="4" w:space="1" w:color="auto"/>
          <w:left w:val="single" w:sz="4" w:space="1" w:color="auto"/>
          <w:bottom w:val="single" w:sz="4" w:space="1" w:color="auto"/>
          <w:right w:val="single" w:sz="4" w:space="1" w:color="auto"/>
        </w:pBdr>
        <w:spacing w:after="0" w:line="240" w:lineRule="auto"/>
        <w:ind w:left="284" w:hanging="284"/>
      </w:pPr>
      <w:r>
        <w:rPr>
          <w:lang w:val="en"/>
        </w:rPr>
        <w:t>702 companies</w:t>
      </w:r>
    </w:p>
    <w:p w14:paraId="23F65DB0" w14:textId="77777777" w:rsidR="00EC62A2" w:rsidRPr="00E66D3F" w:rsidRDefault="00EC62A2" w:rsidP="00EC62A2">
      <w:pPr>
        <w:pStyle w:val="ListParagraph"/>
        <w:numPr>
          <w:ilvl w:val="0"/>
          <w:numId w:val="12"/>
        </w:numPr>
        <w:pBdr>
          <w:top w:val="single" w:sz="4" w:space="1" w:color="auto"/>
          <w:left w:val="single" w:sz="4" w:space="1" w:color="auto"/>
          <w:bottom w:val="single" w:sz="4" w:space="1" w:color="auto"/>
          <w:right w:val="single" w:sz="4" w:space="1" w:color="auto"/>
        </w:pBdr>
        <w:spacing w:after="0" w:line="240" w:lineRule="auto"/>
        <w:ind w:left="284" w:hanging="284"/>
        <w:rPr>
          <w:rFonts w:cstheme="minorHAnsi"/>
        </w:rPr>
      </w:pPr>
      <w:r>
        <w:rPr>
          <w:rFonts w:cstheme="minorHAnsi"/>
          <w:lang w:val="en"/>
        </w:rPr>
        <w:t>9,559 employees</w:t>
      </w:r>
    </w:p>
    <w:p w14:paraId="3D74EF5F" w14:textId="77777777" w:rsidR="00EC62A2" w:rsidRPr="00E66D3F" w:rsidRDefault="00EC62A2" w:rsidP="00EC62A2">
      <w:pPr>
        <w:pStyle w:val="ListParagraph"/>
        <w:numPr>
          <w:ilvl w:val="0"/>
          <w:numId w:val="12"/>
        </w:numPr>
        <w:pBdr>
          <w:top w:val="single" w:sz="4" w:space="1" w:color="auto"/>
          <w:left w:val="single" w:sz="4" w:space="1" w:color="auto"/>
          <w:bottom w:val="single" w:sz="4" w:space="1" w:color="auto"/>
          <w:right w:val="single" w:sz="4" w:space="1" w:color="auto"/>
        </w:pBdr>
        <w:spacing w:after="0" w:line="240" w:lineRule="auto"/>
        <w:ind w:left="284" w:hanging="284"/>
        <w:rPr>
          <w:rFonts w:cstheme="minorHAnsi"/>
        </w:rPr>
      </w:pPr>
      <w:r w:rsidRPr="00E66D3F">
        <w:rPr>
          <w:rFonts w:cstheme="minorHAnsi"/>
          <w:lang w:val="en"/>
        </w:rPr>
        <w:t>Turnover: €2.1 billion</w:t>
      </w:r>
    </w:p>
    <w:p w14:paraId="4A0FDF76" w14:textId="77777777" w:rsidR="00EC62A2" w:rsidRPr="002E22F8" w:rsidRDefault="00EC62A2" w:rsidP="00EC62A2">
      <w:pPr>
        <w:pStyle w:val="ListParagraph"/>
        <w:numPr>
          <w:ilvl w:val="0"/>
          <w:numId w:val="12"/>
        </w:numPr>
        <w:pBdr>
          <w:top w:val="single" w:sz="4" w:space="1" w:color="auto"/>
          <w:left w:val="single" w:sz="4" w:space="1" w:color="auto"/>
          <w:bottom w:val="single" w:sz="4" w:space="1" w:color="auto"/>
          <w:right w:val="single" w:sz="4" w:space="1" w:color="auto"/>
        </w:pBdr>
        <w:spacing w:after="0" w:line="240" w:lineRule="auto"/>
        <w:ind w:left="284" w:hanging="284"/>
        <w:rPr>
          <w:rFonts w:cstheme="minorHAnsi"/>
          <w:lang w:val="en-GB"/>
        </w:rPr>
      </w:pPr>
      <w:r w:rsidRPr="00E66D3F">
        <w:rPr>
          <w:rFonts w:cstheme="minorHAnsi"/>
          <w:lang w:val="en"/>
        </w:rPr>
        <w:t>Change in activity by value: -7%</w:t>
      </w:r>
    </w:p>
    <w:p w14:paraId="5DFC8470" w14:textId="77777777" w:rsidR="00EC62A2" w:rsidRPr="00E66D3F" w:rsidRDefault="00EC62A2" w:rsidP="00EC62A2">
      <w:pPr>
        <w:pStyle w:val="ListParagraph"/>
        <w:numPr>
          <w:ilvl w:val="0"/>
          <w:numId w:val="12"/>
        </w:numPr>
        <w:pBdr>
          <w:top w:val="single" w:sz="4" w:space="1" w:color="auto"/>
          <w:left w:val="single" w:sz="4" w:space="1" w:color="auto"/>
          <w:bottom w:val="single" w:sz="4" w:space="1" w:color="auto"/>
          <w:right w:val="single" w:sz="4" w:space="1" w:color="auto"/>
        </w:pBdr>
        <w:spacing w:after="0" w:line="240" w:lineRule="auto"/>
        <w:ind w:left="284" w:hanging="284"/>
        <w:rPr>
          <w:rFonts w:cstheme="minorHAnsi"/>
        </w:rPr>
      </w:pPr>
      <w:r w:rsidRPr="00E66D3F">
        <w:rPr>
          <w:rFonts w:cstheme="minorHAnsi"/>
          <w:lang w:val="en"/>
        </w:rPr>
        <w:t>Export share: 57%</w:t>
      </w:r>
    </w:p>
    <w:p w14:paraId="3B719CF9" w14:textId="77777777" w:rsidR="00EC62A2" w:rsidRPr="002E22F8" w:rsidRDefault="00EC62A2" w:rsidP="00EC62A2">
      <w:pPr>
        <w:pStyle w:val="ListParagraph"/>
        <w:numPr>
          <w:ilvl w:val="0"/>
          <w:numId w:val="12"/>
        </w:numPr>
        <w:pBdr>
          <w:top w:val="single" w:sz="4" w:space="1" w:color="auto"/>
          <w:left w:val="single" w:sz="4" w:space="1" w:color="auto"/>
          <w:bottom w:val="single" w:sz="4" w:space="1" w:color="auto"/>
          <w:right w:val="single" w:sz="4" w:space="1" w:color="auto"/>
        </w:pBdr>
        <w:spacing w:after="0" w:line="240" w:lineRule="auto"/>
        <w:ind w:left="284" w:hanging="284"/>
        <w:rPr>
          <w:rFonts w:cstheme="minorHAnsi"/>
          <w:lang w:val="en-GB"/>
        </w:rPr>
      </w:pPr>
      <w:r w:rsidRPr="00E66D3F">
        <w:rPr>
          <w:rFonts w:cstheme="minorHAnsi"/>
          <w:lang w:val="en"/>
        </w:rPr>
        <w:t>Share of total turnover in the Belgian wood and furniture industry: 35%</w:t>
      </w:r>
    </w:p>
    <w:p w14:paraId="109FBF99" w14:textId="77777777" w:rsidR="00EC62A2" w:rsidRPr="002E22F8" w:rsidRDefault="00EC62A2" w:rsidP="00EC62A2">
      <w:pPr>
        <w:pBdr>
          <w:top w:val="single" w:sz="4" w:space="1" w:color="auto"/>
          <w:left w:val="single" w:sz="4" w:space="1" w:color="auto"/>
          <w:bottom w:val="single" w:sz="4" w:space="1" w:color="auto"/>
          <w:right w:val="single" w:sz="4" w:space="1" w:color="auto"/>
        </w:pBdr>
        <w:spacing w:after="0" w:line="240" w:lineRule="auto"/>
        <w:rPr>
          <w:rFonts w:cstheme="minorHAnsi"/>
          <w:sz w:val="10"/>
          <w:szCs w:val="10"/>
          <w:lang w:val="en-GB"/>
        </w:rPr>
      </w:pPr>
    </w:p>
    <w:p w14:paraId="5B85FA77" w14:textId="77777777" w:rsidR="00EC62A2" w:rsidRPr="002E22F8" w:rsidRDefault="00EC62A2" w:rsidP="00EC62A2">
      <w:pPr>
        <w:tabs>
          <w:tab w:val="left" w:pos="-828"/>
          <w:tab w:val="left" w:pos="4253"/>
        </w:tabs>
        <w:suppressAutoHyphens/>
        <w:spacing w:after="0" w:line="240" w:lineRule="auto"/>
        <w:jc w:val="both"/>
        <w:rPr>
          <w:rFonts w:cstheme="minorHAnsi"/>
          <w:spacing w:val="-3"/>
          <w:lang w:val="en-GB"/>
        </w:rPr>
      </w:pPr>
    </w:p>
    <w:p w14:paraId="3DE695AD" w14:textId="77777777" w:rsidR="00EC62A2" w:rsidRPr="002E22F8" w:rsidRDefault="00EC62A2" w:rsidP="00EC62A2">
      <w:pPr>
        <w:tabs>
          <w:tab w:val="left" w:pos="-828"/>
          <w:tab w:val="left" w:pos="4253"/>
        </w:tabs>
        <w:suppressAutoHyphens/>
        <w:spacing w:after="0" w:line="240" w:lineRule="auto"/>
        <w:jc w:val="both"/>
        <w:rPr>
          <w:rFonts w:cstheme="minorHAnsi"/>
          <w:spacing w:val="-3"/>
          <w:u w:val="single"/>
          <w:lang w:val="en-GB"/>
        </w:rPr>
      </w:pPr>
      <w:r w:rsidRPr="00E66D3F">
        <w:rPr>
          <w:rFonts w:cstheme="minorHAnsi"/>
          <w:spacing w:val="-3"/>
          <w:u w:val="single"/>
          <w:lang w:val="en"/>
        </w:rPr>
        <w:t>Summary of developments in the first half of 2024</w:t>
      </w:r>
    </w:p>
    <w:p w14:paraId="5208DDA5" w14:textId="77777777" w:rsidR="00EC62A2" w:rsidRPr="002E22F8" w:rsidRDefault="00EC62A2" w:rsidP="00EC62A2">
      <w:pPr>
        <w:tabs>
          <w:tab w:val="left" w:pos="-828"/>
          <w:tab w:val="left" w:pos="4253"/>
        </w:tabs>
        <w:suppressAutoHyphens/>
        <w:spacing w:after="0" w:line="240" w:lineRule="auto"/>
        <w:jc w:val="both"/>
        <w:rPr>
          <w:rFonts w:cstheme="minorHAnsi"/>
          <w:spacing w:val="-3"/>
          <w:lang w:val="en-GB"/>
        </w:rPr>
      </w:pPr>
    </w:p>
    <w:p w14:paraId="392BEDF1" w14:textId="77777777" w:rsidR="00EC62A2" w:rsidRPr="002E22F8" w:rsidRDefault="00EC62A2" w:rsidP="00EC62A2">
      <w:pPr>
        <w:pStyle w:val="ListParagraph"/>
        <w:numPr>
          <w:ilvl w:val="0"/>
          <w:numId w:val="13"/>
        </w:numPr>
        <w:tabs>
          <w:tab w:val="left" w:pos="4253"/>
        </w:tabs>
        <w:suppressAutoHyphens/>
        <w:spacing w:after="0" w:line="240" w:lineRule="auto"/>
        <w:ind w:left="284" w:hanging="284"/>
        <w:jc w:val="both"/>
        <w:rPr>
          <w:spacing w:val="-3"/>
          <w:lang w:val="en-GB"/>
        </w:rPr>
      </w:pPr>
      <w:r w:rsidRPr="1C83DAF5">
        <w:rPr>
          <w:spacing w:val="-3"/>
          <w:lang w:val="en"/>
        </w:rPr>
        <w:t xml:space="preserve">Turnover: €1,023.1 million, -7.8% compared to the first half of 2023 Real decline in volume: -7.1% </w:t>
      </w:r>
    </w:p>
    <w:p w14:paraId="6553F8B6" w14:textId="77777777" w:rsidR="00EC62A2" w:rsidRPr="002E22F8" w:rsidRDefault="00EC62A2" w:rsidP="00EC62A2">
      <w:pPr>
        <w:pStyle w:val="ListParagraph"/>
        <w:numPr>
          <w:ilvl w:val="0"/>
          <w:numId w:val="13"/>
        </w:numPr>
        <w:tabs>
          <w:tab w:val="left" w:pos="4253"/>
        </w:tabs>
        <w:suppressAutoHyphens/>
        <w:spacing w:after="0" w:line="240" w:lineRule="auto"/>
        <w:ind w:left="284" w:hanging="284"/>
        <w:jc w:val="both"/>
        <w:rPr>
          <w:spacing w:val="-3"/>
          <w:lang w:val="en-GB"/>
        </w:rPr>
      </w:pPr>
      <w:r w:rsidRPr="1C83DAF5">
        <w:rPr>
          <w:spacing w:val="-3"/>
          <w:lang w:val="en"/>
        </w:rPr>
        <w:t>Investments: -15.8% in the first half of 2024, €41.6 million</w:t>
      </w:r>
    </w:p>
    <w:p w14:paraId="617946DD" w14:textId="77777777" w:rsidR="00EC62A2" w:rsidRPr="00390228" w:rsidRDefault="00EC62A2" w:rsidP="00EC62A2">
      <w:pPr>
        <w:pStyle w:val="ListParagraph"/>
        <w:numPr>
          <w:ilvl w:val="0"/>
          <w:numId w:val="13"/>
        </w:numPr>
        <w:tabs>
          <w:tab w:val="left" w:pos="-828"/>
          <w:tab w:val="left" w:pos="4253"/>
        </w:tabs>
        <w:suppressAutoHyphens/>
        <w:spacing w:after="0" w:line="240" w:lineRule="auto"/>
        <w:ind w:left="284" w:hanging="284"/>
        <w:jc w:val="both"/>
        <w:rPr>
          <w:rFonts w:cstheme="minorHAnsi"/>
          <w:spacing w:val="-3"/>
        </w:rPr>
      </w:pPr>
      <w:r w:rsidRPr="00390228">
        <w:rPr>
          <w:rFonts w:cstheme="minorHAnsi"/>
          <w:spacing w:val="-3"/>
          <w:lang w:val="en"/>
        </w:rPr>
        <w:t xml:space="preserve">Capacity </w:t>
      </w:r>
      <w:proofErr w:type="spellStart"/>
      <w:r w:rsidRPr="00390228">
        <w:rPr>
          <w:rFonts w:cstheme="minorHAnsi"/>
          <w:spacing w:val="-3"/>
          <w:lang w:val="en"/>
        </w:rPr>
        <w:t>utilisation</w:t>
      </w:r>
      <w:proofErr w:type="spellEnd"/>
      <w:r w:rsidRPr="00390228">
        <w:rPr>
          <w:rFonts w:cstheme="minorHAnsi"/>
          <w:spacing w:val="-3"/>
          <w:lang w:val="en"/>
        </w:rPr>
        <w:t xml:space="preserve"> rate: 70.6% </w:t>
      </w:r>
    </w:p>
    <w:p w14:paraId="04A089F2" w14:textId="77777777" w:rsidR="00EC62A2" w:rsidRPr="002E22F8" w:rsidRDefault="00EC62A2" w:rsidP="00EC62A2">
      <w:pPr>
        <w:pStyle w:val="ListParagraph"/>
        <w:numPr>
          <w:ilvl w:val="0"/>
          <w:numId w:val="13"/>
        </w:numPr>
        <w:tabs>
          <w:tab w:val="left" w:pos="4253"/>
        </w:tabs>
        <w:suppressAutoHyphens/>
        <w:spacing w:after="0" w:line="240" w:lineRule="auto"/>
        <w:ind w:left="284" w:hanging="284"/>
        <w:jc w:val="both"/>
        <w:rPr>
          <w:lang w:val="en-GB"/>
        </w:rPr>
      </w:pPr>
      <w:r w:rsidRPr="1C83DAF5">
        <w:rPr>
          <w:spacing w:val="-3"/>
          <w:lang w:val="en"/>
        </w:rPr>
        <w:t>Export: +0.4% compared to the same period in 2023 Germany displaces the Netherlands from second place in sales markets, with a significant increase of 46.4% France remains the largest sales market</w:t>
      </w:r>
    </w:p>
    <w:p w14:paraId="1DD8AD7B" w14:textId="77777777" w:rsidR="00EC62A2" w:rsidRPr="002E22F8" w:rsidRDefault="00EC62A2" w:rsidP="00EC62A2">
      <w:pPr>
        <w:pStyle w:val="ListParagraph"/>
        <w:numPr>
          <w:ilvl w:val="0"/>
          <w:numId w:val="13"/>
        </w:numPr>
        <w:tabs>
          <w:tab w:val="left" w:pos="4253"/>
        </w:tabs>
        <w:suppressAutoHyphens/>
        <w:spacing w:after="0" w:line="240" w:lineRule="auto"/>
        <w:ind w:left="284" w:hanging="284"/>
        <w:jc w:val="both"/>
        <w:rPr>
          <w:lang w:val="en-GB"/>
        </w:rPr>
      </w:pPr>
      <w:r w:rsidRPr="00390228">
        <w:rPr>
          <w:spacing w:val="-3"/>
          <w:lang w:val="en"/>
        </w:rPr>
        <w:t>Import: +1.1% compared to the same period in 2023</w:t>
      </w:r>
    </w:p>
    <w:p w14:paraId="1C8413BD" w14:textId="77777777" w:rsidR="00EC62A2" w:rsidRPr="002E22F8" w:rsidRDefault="00EC62A2" w:rsidP="00EC62A2">
      <w:pPr>
        <w:suppressAutoHyphens/>
        <w:autoSpaceDE w:val="0"/>
        <w:autoSpaceDN w:val="0"/>
        <w:adjustRightInd w:val="0"/>
        <w:spacing w:before="120" w:after="120" w:line="240" w:lineRule="auto"/>
        <w:contextualSpacing/>
        <w:textAlignment w:val="center"/>
        <w:rPr>
          <w:rFonts w:cstheme="minorHAnsi"/>
          <w:b/>
          <w:bCs/>
          <w:color w:val="000000"/>
          <w:lang w:val="en-GB"/>
        </w:rPr>
      </w:pPr>
    </w:p>
    <w:p w14:paraId="11F5FB27" w14:textId="77777777" w:rsidR="00EC62A2" w:rsidRPr="002E22F8" w:rsidRDefault="00EC62A2" w:rsidP="00EC62A2">
      <w:pPr>
        <w:pStyle w:val="BodyText"/>
        <w:rPr>
          <w:rFonts w:asciiTheme="minorHAnsi" w:hAnsiTheme="minorHAnsi" w:cstheme="minorBidi"/>
          <w:lang w:val="en-GB"/>
        </w:rPr>
      </w:pPr>
      <w:r w:rsidRPr="1C83DAF5">
        <w:rPr>
          <w:rFonts w:asciiTheme="minorHAnsi" w:hAnsiTheme="minorHAnsi" w:cstheme="minorBidi"/>
          <w:color w:val="000000" w:themeColor="text1"/>
          <w:lang w:val="en"/>
        </w:rPr>
        <w:t xml:space="preserve">In 2023, turnover in the furniture industry declined by 7% in value, following stabilisation (-0.4%) in 2022, reaching €2.1 billion. The production volume dropped by 10.9%, while sales prices increased by 3.9%. </w:t>
      </w:r>
      <w:r w:rsidRPr="1C83DAF5">
        <w:rPr>
          <w:rFonts w:asciiTheme="minorHAnsi" w:hAnsiTheme="minorHAnsi" w:cstheme="minorBidi"/>
          <w:lang w:val="en"/>
        </w:rPr>
        <w:t xml:space="preserve">The rise in sales prices in 2023 resulted from the partial pass-through of higher raw material, material, energy, and labour costs. </w:t>
      </w:r>
    </w:p>
    <w:p w14:paraId="24B0B134" w14:textId="77777777" w:rsidR="00EC62A2" w:rsidRPr="002E22F8" w:rsidRDefault="00EC62A2" w:rsidP="00EC62A2">
      <w:pPr>
        <w:spacing w:before="120" w:after="120" w:line="240" w:lineRule="auto"/>
        <w:jc w:val="both"/>
        <w:rPr>
          <w:color w:val="000000"/>
          <w:lang w:val="en-GB"/>
        </w:rPr>
      </w:pPr>
      <w:r w:rsidRPr="1C83DAF5">
        <w:rPr>
          <w:color w:val="000000" w:themeColor="text1"/>
          <w:lang w:val="en"/>
        </w:rPr>
        <w:t xml:space="preserve">Kitchen furniture was the only product group that maintained turnover in 2023 (+0.8% in value), driven by an 8.6% increase in sales prices, despite a 7.8% decline in production volume.  All other </w:t>
      </w:r>
      <w:r w:rsidRPr="1C83DAF5">
        <w:rPr>
          <w:color w:val="000000" w:themeColor="text1"/>
          <w:lang w:val="en"/>
        </w:rPr>
        <w:lastRenderedPageBreak/>
        <w:t xml:space="preserve">product groups in the furniture industry experienced both a decline in turnover and production volume.  Household furniture saw a decrease of 5.5% in value and 11.0% in volume. Office and shop furniture experienced a sharp drop of 14.6% in value and 15.8% in volume. Mattresses and bed bases also declined significantly, with a 11.7% reduction in value and 13.8% in volume.  </w:t>
      </w:r>
    </w:p>
    <w:p w14:paraId="298AEDE9" w14:textId="77777777" w:rsidR="00EC62A2" w:rsidRPr="002E22F8" w:rsidRDefault="00EC62A2" w:rsidP="00EC62A2">
      <w:pPr>
        <w:autoSpaceDE w:val="0"/>
        <w:autoSpaceDN w:val="0"/>
        <w:adjustRightInd w:val="0"/>
        <w:spacing w:before="120" w:after="120" w:line="240" w:lineRule="auto"/>
        <w:contextualSpacing/>
        <w:jc w:val="both"/>
        <w:textAlignment w:val="center"/>
        <w:rPr>
          <w:rFonts w:cstheme="minorHAnsi"/>
          <w:lang w:val="en-GB"/>
        </w:rPr>
      </w:pPr>
      <w:r w:rsidRPr="006774A6">
        <w:rPr>
          <w:rFonts w:cstheme="minorHAnsi"/>
          <w:lang w:val="en"/>
        </w:rPr>
        <w:t xml:space="preserve">Due to weak construction activity, demand remained low, with a similar situation in export markets. </w:t>
      </w:r>
    </w:p>
    <w:p w14:paraId="11E14F47" w14:textId="77777777" w:rsidR="00EC62A2" w:rsidRPr="002E22F8" w:rsidRDefault="00EC62A2" w:rsidP="00EC62A2">
      <w:pPr>
        <w:autoSpaceDE w:val="0"/>
        <w:autoSpaceDN w:val="0"/>
        <w:adjustRightInd w:val="0"/>
        <w:spacing w:before="120" w:after="120" w:line="240" w:lineRule="auto"/>
        <w:contextualSpacing/>
        <w:jc w:val="both"/>
        <w:textAlignment w:val="center"/>
        <w:rPr>
          <w:rFonts w:cstheme="minorHAnsi"/>
          <w:lang w:val="en-GB"/>
        </w:rPr>
      </w:pPr>
    </w:p>
    <w:p w14:paraId="0BAB11EA" w14:textId="77777777" w:rsidR="00EC62A2" w:rsidRPr="002E22F8" w:rsidRDefault="00EC62A2" w:rsidP="00EC62A2">
      <w:pPr>
        <w:autoSpaceDE w:val="0"/>
        <w:autoSpaceDN w:val="0"/>
        <w:adjustRightInd w:val="0"/>
        <w:spacing w:before="120" w:after="120" w:line="240" w:lineRule="auto"/>
        <w:contextualSpacing/>
        <w:jc w:val="both"/>
        <w:textAlignment w:val="center"/>
        <w:rPr>
          <w:lang w:val="en-GB"/>
        </w:rPr>
      </w:pPr>
      <w:r w:rsidRPr="1C83DAF5">
        <w:rPr>
          <w:lang w:val="en"/>
        </w:rPr>
        <w:t xml:space="preserve">During the first half of 2024, turnover continued to decline by 7.8% in value and 7.1% in volume.  The turnover of all product groups fell in both value and volume.  </w:t>
      </w:r>
    </w:p>
    <w:p w14:paraId="3CDAFD8C" w14:textId="77777777" w:rsidR="00EC62A2" w:rsidRPr="002E22F8" w:rsidRDefault="00EC62A2" w:rsidP="00EC62A2">
      <w:pPr>
        <w:spacing w:before="120" w:after="120" w:line="240" w:lineRule="auto"/>
        <w:contextualSpacing/>
        <w:jc w:val="both"/>
        <w:rPr>
          <w:lang w:val="en-GB"/>
        </w:rPr>
      </w:pPr>
    </w:p>
    <w:p w14:paraId="383DBEE6" w14:textId="77777777" w:rsidR="00EC62A2" w:rsidRDefault="00EC62A2" w:rsidP="00EC62A2">
      <w:pPr>
        <w:suppressAutoHyphens/>
        <w:autoSpaceDE w:val="0"/>
        <w:autoSpaceDN w:val="0"/>
        <w:adjustRightInd w:val="0"/>
        <w:spacing w:before="120" w:after="120" w:line="240" w:lineRule="auto"/>
        <w:contextualSpacing/>
        <w:jc w:val="center"/>
        <w:textAlignment w:val="center"/>
        <w:rPr>
          <w:rFonts w:cstheme="minorHAnsi"/>
          <w:b/>
          <w:bCs/>
          <w:color w:val="000000"/>
          <w:lang w:val="nl-NL"/>
        </w:rPr>
      </w:pPr>
      <w:r w:rsidRPr="00556AD4">
        <w:rPr>
          <w:rFonts w:cstheme="minorHAnsi"/>
          <w:b/>
          <w:bCs/>
          <w:color w:val="000000"/>
          <w:lang w:val="en"/>
        </w:rPr>
        <w:t>TURNOVER EVOLUTION BY PRODUCT GROUP</w:t>
      </w:r>
    </w:p>
    <w:p w14:paraId="33D14BA2" w14:textId="77777777" w:rsidR="00EC62A2" w:rsidRDefault="00EC62A2" w:rsidP="00EC62A2">
      <w:pPr>
        <w:suppressAutoHyphens/>
        <w:autoSpaceDE w:val="0"/>
        <w:autoSpaceDN w:val="0"/>
        <w:adjustRightInd w:val="0"/>
        <w:spacing w:before="120" w:after="120" w:line="240" w:lineRule="auto"/>
        <w:contextualSpacing/>
        <w:jc w:val="center"/>
        <w:textAlignment w:val="center"/>
        <w:rPr>
          <w:rFonts w:cstheme="minorHAnsi"/>
          <w:b/>
          <w:bCs/>
          <w:color w:val="000000"/>
          <w:lang w:val="nl-NL"/>
        </w:rPr>
      </w:pPr>
    </w:p>
    <w:tbl>
      <w:tblPr>
        <w:tblW w:w="10915" w:type="dxa"/>
        <w:tblInd w:w="-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9"/>
        <w:gridCol w:w="1133"/>
        <w:gridCol w:w="1275"/>
        <w:gridCol w:w="1276"/>
        <w:gridCol w:w="1134"/>
        <w:gridCol w:w="1134"/>
        <w:gridCol w:w="1134"/>
      </w:tblGrid>
      <w:tr w:rsidR="00EC62A2" w14:paraId="529404AF" w14:textId="77777777" w:rsidTr="00CF7FFA">
        <w:tc>
          <w:tcPr>
            <w:tcW w:w="3829" w:type="dxa"/>
            <w:vMerge w:val="restart"/>
            <w:tcMar>
              <w:top w:w="91" w:type="dxa"/>
              <w:left w:w="91" w:type="dxa"/>
              <w:bottom w:w="91" w:type="dxa"/>
              <w:right w:w="91" w:type="dxa"/>
            </w:tcMar>
            <w:vAlign w:val="center"/>
          </w:tcPr>
          <w:p w14:paraId="7F4F43AA" w14:textId="77777777" w:rsidR="00EC62A2" w:rsidRPr="00802EFC" w:rsidRDefault="00EC62A2" w:rsidP="00CF7FFA">
            <w:pPr>
              <w:suppressAutoHyphens/>
              <w:autoSpaceDE w:val="0"/>
              <w:autoSpaceDN w:val="0"/>
              <w:adjustRightInd w:val="0"/>
              <w:spacing w:after="0" w:line="240" w:lineRule="auto"/>
              <w:jc w:val="center"/>
              <w:textAlignment w:val="center"/>
              <w:rPr>
                <w:rFonts w:cstheme="minorHAnsi"/>
                <w:b/>
                <w:bCs/>
              </w:rPr>
            </w:pPr>
          </w:p>
        </w:tc>
        <w:tc>
          <w:tcPr>
            <w:tcW w:w="1133" w:type="dxa"/>
            <w:vAlign w:val="center"/>
          </w:tcPr>
          <w:p w14:paraId="1EE3CB58" w14:textId="77777777" w:rsidR="00EC62A2" w:rsidRDefault="00EC62A2" w:rsidP="00CF7FFA">
            <w:pPr>
              <w:suppressAutoHyphens/>
              <w:autoSpaceDE w:val="0"/>
              <w:autoSpaceDN w:val="0"/>
              <w:adjustRightInd w:val="0"/>
              <w:spacing w:after="0" w:line="240" w:lineRule="auto"/>
              <w:jc w:val="center"/>
              <w:textAlignment w:val="center"/>
              <w:rPr>
                <w:rFonts w:cstheme="minorHAnsi"/>
                <w:b/>
                <w:bCs/>
                <w:lang w:val="en-US"/>
              </w:rPr>
            </w:pPr>
            <w:r>
              <w:rPr>
                <w:rFonts w:cstheme="minorHAnsi"/>
                <w:b/>
                <w:bCs/>
                <w:lang w:val="en"/>
              </w:rPr>
              <w:t>€ million</w:t>
            </w:r>
          </w:p>
        </w:tc>
        <w:tc>
          <w:tcPr>
            <w:tcW w:w="1275" w:type="dxa"/>
            <w:vAlign w:val="center"/>
          </w:tcPr>
          <w:p w14:paraId="23FCA8BE" w14:textId="77777777" w:rsidR="00EC62A2" w:rsidRDefault="00EC62A2" w:rsidP="00CF7FFA">
            <w:pPr>
              <w:suppressAutoHyphens/>
              <w:autoSpaceDE w:val="0"/>
              <w:autoSpaceDN w:val="0"/>
              <w:adjustRightInd w:val="0"/>
              <w:spacing w:after="0" w:line="240" w:lineRule="auto"/>
              <w:jc w:val="center"/>
              <w:textAlignment w:val="center"/>
              <w:rPr>
                <w:rFonts w:cstheme="minorHAnsi"/>
                <w:b/>
                <w:bCs/>
                <w:lang w:val="en-US"/>
              </w:rPr>
            </w:pPr>
            <w:r>
              <w:rPr>
                <w:rFonts w:cstheme="minorHAnsi"/>
                <w:b/>
                <w:bCs/>
                <w:lang w:val="en"/>
              </w:rPr>
              <w:t>Change in Value</w:t>
            </w:r>
          </w:p>
        </w:tc>
        <w:tc>
          <w:tcPr>
            <w:tcW w:w="1276" w:type="dxa"/>
            <w:vAlign w:val="center"/>
          </w:tcPr>
          <w:p w14:paraId="2EE23639" w14:textId="77777777" w:rsidR="00EC62A2" w:rsidRDefault="00EC62A2" w:rsidP="00CF7FFA">
            <w:pPr>
              <w:suppressAutoHyphens/>
              <w:autoSpaceDE w:val="0"/>
              <w:autoSpaceDN w:val="0"/>
              <w:adjustRightInd w:val="0"/>
              <w:spacing w:after="0" w:line="240" w:lineRule="auto"/>
              <w:jc w:val="center"/>
              <w:textAlignment w:val="center"/>
              <w:rPr>
                <w:rFonts w:cstheme="minorHAnsi"/>
                <w:b/>
                <w:bCs/>
                <w:lang w:val="en-US"/>
              </w:rPr>
            </w:pPr>
            <w:r>
              <w:rPr>
                <w:rFonts w:cstheme="minorHAnsi"/>
                <w:b/>
                <w:bCs/>
                <w:lang w:val="en"/>
              </w:rPr>
              <w:t>Change in Volume</w:t>
            </w:r>
          </w:p>
        </w:tc>
        <w:tc>
          <w:tcPr>
            <w:tcW w:w="1134" w:type="dxa"/>
            <w:vAlign w:val="center"/>
          </w:tcPr>
          <w:p w14:paraId="37470133" w14:textId="77777777" w:rsidR="00EC62A2" w:rsidRDefault="00EC62A2" w:rsidP="00CF7FFA">
            <w:pPr>
              <w:suppressAutoHyphens/>
              <w:autoSpaceDE w:val="0"/>
              <w:autoSpaceDN w:val="0"/>
              <w:adjustRightInd w:val="0"/>
              <w:spacing w:after="0" w:line="240" w:lineRule="auto"/>
              <w:jc w:val="center"/>
              <w:textAlignment w:val="center"/>
              <w:rPr>
                <w:rFonts w:cstheme="minorHAnsi"/>
                <w:b/>
                <w:bCs/>
                <w:lang w:val="en-US"/>
              </w:rPr>
            </w:pPr>
            <w:r>
              <w:rPr>
                <w:rFonts w:cstheme="minorHAnsi"/>
                <w:b/>
                <w:bCs/>
                <w:lang w:val="en"/>
              </w:rPr>
              <w:t>€ million</w:t>
            </w:r>
          </w:p>
        </w:tc>
        <w:tc>
          <w:tcPr>
            <w:tcW w:w="1134" w:type="dxa"/>
            <w:vAlign w:val="center"/>
          </w:tcPr>
          <w:p w14:paraId="3A05C8DC" w14:textId="77777777" w:rsidR="00EC62A2" w:rsidRDefault="00EC62A2" w:rsidP="00CF7FFA">
            <w:pPr>
              <w:suppressAutoHyphens/>
              <w:autoSpaceDE w:val="0"/>
              <w:autoSpaceDN w:val="0"/>
              <w:adjustRightInd w:val="0"/>
              <w:spacing w:after="0" w:line="240" w:lineRule="auto"/>
              <w:jc w:val="center"/>
              <w:textAlignment w:val="center"/>
              <w:rPr>
                <w:rFonts w:cstheme="minorHAnsi"/>
                <w:b/>
                <w:bCs/>
                <w:lang w:val="en-US"/>
              </w:rPr>
            </w:pPr>
            <w:r>
              <w:rPr>
                <w:rFonts w:cstheme="minorHAnsi"/>
                <w:b/>
                <w:bCs/>
                <w:lang w:val="en"/>
              </w:rPr>
              <w:t>Change in Value</w:t>
            </w:r>
          </w:p>
        </w:tc>
        <w:tc>
          <w:tcPr>
            <w:tcW w:w="1134" w:type="dxa"/>
            <w:vAlign w:val="center"/>
          </w:tcPr>
          <w:p w14:paraId="0AF776C4" w14:textId="77777777" w:rsidR="00EC62A2" w:rsidRDefault="00EC62A2" w:rsidP="00CF7FFA">
            <w:pPr>
              <w:suppressAutoHyphens/>
              <w:autoSpaceDE w:val="0"/>
              <w:autoSpaceDN w:val="0"/>
              <w:adjustRightInd w:val="0"/>
              <w:spacing w:after="0" w:line="240" w:lineRule="auto"/>
              <w:jc w:val="center"/>
              <w:textAlignment w:val="center"/>
              <w:rPr>
                <w:rFonts w:cstheme="minorHAnsi"/>
                <w:b/>
                <w:bCs/>
                <w:lang w:val="en-US"/>
              </w:rPr>
            </w:pPr>
            <w:r>
              <w:rPr>
                <w:rFonts w:cstheme="minorHAnsi"/>
                <w:b/>
                <w:bCs/>
                <w:lang w:val="en"/>
              </w:rPr>
              <w:t>Change in Volume</w:t>
            </w:r>
          </w:p>
        </w:tc>
      </w:tr>
      <w:tr w:rsidR="00EC62A2" w14:paraId="5E223E48" w14:textId="77777777" w:rsidTr="00CF7FFA">
        <w:tc>
          <w:tcPr>
            <w:tcW w:w="3829" w:type="dxa"/>
            <w:vMerge/>
            <w:tcMar>
              <w:top w:w="91" w:type="dxa"/>
              <w:left w:w="91" w:type="dxa"/>
              <w:bottom w:w="91" w:type="dxa"/>
              <w:right w:w="91" w:type="dxa"/>
            </w:tcMar>
            <w:vAlign w:val="center"/>
          </w:tcPr>
          <w:p w14:paraId="1384925B" w14:textId="77777777" w:rsidR="00EC62A2" w:rsidRPr="002C5C92" w:rsidRDefault="00EC62A2" w:rsidP="00CF7FFA">
            <w:pPr>
              <w:suppressAutoHyphens/>
              <w:autoSpaceDE w:val="0"/>
              <w:autoSpaceDN w:val="0"/>
              <w:adjustRightInd w:val="0"/>
              <w:spacing w:after="0" w:line="240" w:lineRule="auto"/>
              <w:jc w:val="center"/>
              <w:textAlignment w:val="center"/>
              <w:rPr>
                <w:rFonts w:cstheme="minorHAnsi"/>
                <w:b/>
                <w:bCs/>
                <w:lang w:val="nl-NL"/>
              </w:rPr>
            </w:pPr>
          </w:p>
        </w:tc>
        <w:tc>
          <w:tcPr>
            <w:tcW w:w="1133" w:type="dxa"/>
            <w:vAlign w:val="center"/>
          </w:tcPr>
          <w:p w14:paraId="5FEF6C4C" w14:textId="77777777" w:rsidR="00EC62A2" w:rsidRDefault="00EC62A2" w:rsidP="00CF7FFA">
            <w:pPr>
              <w:suppressAutoHyphens/>
              <w:autoSpaceDE w:val="0"/>
              <w:autoSpaceDN w:val="0"/>
              <w:adjustRightInd w:val="0"/>
              <w:spacing w:after="0" w:line="240" w:lineRule="auto"/>
              <w:jc w:val="center"/>
              <w:textAlignment w:val="center"/>
              <w:rPr>
                <w:rFonts w:cstheme="minorHAnsi"/>
                <w:b/>
                <w:bCs/>
                <w:lang w:val="en-US"/>
              </w:rPr>
            </w:pPr>
            <w:r w:rsidRPr="002C5C92">
              <w:rPr>
                <w:rFonts w:cstheme="minorHAnsi"/>
                <w:b/>
                <w:bCs/>
                <w:lang w:val="en"/>
              </w:rPr>
              <w:t xml:space="preserve">2023 </w:t>
            </w:r>
          </w:p>
        </w:tc>
        <w:tc>
          <w:tcPr>
            <w:tcW w:w="1275" w:type="dxa"/>
            <w:vAlign w:val="center"/>
          </w:tcPr>
          <w:p w14:paraId="7F1A8522" w14:textId="77777777" w:rsidR="00EC62A2" w:rsidRDefault="00EC62A2" w:rsidP="00CF7FFA">
            <w:pPr>
              <w:suppressAutoHyphens/>
              <w:autoSpaceDE w:val="0"/>
              <w:autoSpaceDN w:val="0"/>
              <w:adjustRightInd w:val="0"/>
              <w:spacing w:after="0" w:line="240" w:lineRule="auto"/>
              <w:jc w:val="center"/>
              <w:textAlignment w:val="center"/>
              <w:rPr>
                <w:rFonts w:cstheme="minorHAnsi"/>
                <w:b/>
                <w:bCs/>
                <w:lang w:val="en-US"/>
              </w:rPr>
            </w:pPr>
            <w:r>
              <w:rPr>
                <w:rFonts w:cstheme="minorHAnsi"/>
                <w:b/>
                <w:bCs/>
                <w:lang w:val="en"/>
              </w:rPr>
              <w:t xml:space="preserve">2023/2022 </w:t>
            </w:r>
          </w:p>
        </w:tc>
        <w:tc>
          <w:tcPr>
            <w:tcW w:w="1276" w:type="dxa"/>
            <w:vAlign w:val="center"/>
          </w:tcPr>
          <w:p w14:paraId="37726E46" w14:textId="77777777" w:rsidR="00EC62A2" w:rsidRDefault="00EC62A2" w:rsidP="00CF7FFA">
            <w:pPr>
              <w:suppressAutoHyphens/>
              <w:autoSpaceDE w:val="0"/>
              <w:autoSpaceDN w:val="0"/>
              <w:adjustRightInd w:val="0"/>
              <w:spacing w:after="0" w:line="240" w:lineRule="auto"/>
              <w:jc w:val="center"/>
              <w:textAlignment w:val="center"/>
              <w:rPr>
                <w:rFonts w:cstheme="minorHAnsi"/>
                <w:b/>
                <w:bCs/>
                <w:lang w:val="en-US"/>
              </w:rPr>
            </w:pPr>
            <w:r>
              <w:rPr>
                <w:rFonts w:cstheme="minorHAnsi"/>
                <w:b/>
                <w:bCs/>
                <w:lang w:val="en"/>
              </w:rPr>
              <w:t xml:space="preserve">2023/2022 </w:t>
            </w:r>
          </w:p>
        </w:tc>
        <w:tc>
          <w:tcPr>
            <w:tcW w:w="1134" w:type="dxa"/>
            <w:vAlign w:val="center"/>
          </w:tcPr>
          <w:p w14:paraId="3BFD5643" w14:textId="77777777" w:rsidR="00EC62A2" w:rsidRDefault="00EC62A2" w:rsidP="00CF7FFA">
            <w:pPr>
              <w:suppressAutoHyphens/>
              <w:autoSpaceDE w:val="0"/>
              <w:autoSpaceDN w:val="0"/>
              <w:adjustRightInd w:val="0"/>
              <w:spacing w:after="0" w:line="240" w:lineRule="auto"/>
              <w:jc w:val="center"/>
              <w:textAlignment w:val="center"/>
              <w:rPr>
                <w:rFonts w:cstheme="minorHAnsi"/>
                <w:b/>
                <w:bCs/>
                <w:lang w:val="en-US"/>
              </w:rPr>
            </w:pPr>
            <w:r>
              <w:rPr>
                <w:rFonts w:cstheme="minorHAnsi"/>
                <w:b/>
                <w:bCs/>
                <w:lang w:val="en"/>
              </w:rPr>
              <w:t>6 months 2024*</w:t>
            </w:r>
          </w:p>
        </w:tc>
        <w:tc>
          <w:tcPr>
            <w:tcW w:w="1134" w:type="dxa"/>
            <w:vAlign w:val="center"/>
          </w:tcPr>
          <w:p w14:paraId="00E31239" w14:textId="77777777" w:rsidR="00EC62A2" w:rsidRDefault="00EC62A2" w:rsidP="00CF7FFA">
            <w:pPr>
              <w:suppressAutoHyphens/>
              <w:autoSpaceDE w:val="0"/>
              <w:autoSpaceDN w:val="0"/>
              <w:adjustRightInd w:val="0"/>
              <w:spacing w:after="0" w:line="240" w:lineRule="auto"/>
              <w:jc w:val="center"/>
              <w:textAlignment w:val="center"/>
              <w:rPr>
                <w:rFonts w:cstheme="minorHAnsi"/>
                <w:b/>
                <w:bCs/>
                <w:lang w:val="en-US"/>
              </w:rPr>
            </w:pPr>
            <w:r>
              <w:rPr>
                <w:rFonts w:cstheme="minorHAnsi"/>
                <w:b/>
                <w:bCs/>
                <w:lang w:val="en"/>
              </w:rPr>
              <w:t>6 months 2024/2023*</w:t>
            </w:r>
          </w:p>
        </w:tc>
        <w:tc>
          <w:tcPr>
            <w:tcW w:w="1134" w:type="dxa"/>
            <w:vAlign w:val="center"/>
          </w:tcPr>
          <w:p w14:paraId="223ECBEE" w14:textId="77777777" w:rsidR="00EC62A2" w:rsidRDefault="00EC62A2" w:rsidP="00CF7FFA">
            <w:pPr>
              <w:suppressAutoHyphens/>
              <w:autoSpaceDE w:val="0"/>
              <w:autoSpaceDN w:val="0"/>
              <w:adjustRightInd w:val="0"/>
              <w:spacing w:after="0" w:line="240" w:lineRule="auto"/>
              <w:jc w:val="center"/>
              <w:textAlignment w:val="center"/>
              <w:rPr>
                <w:rFonts w:cstheme="minorHAnsi"/>
                <w:b/>
                <w:bCs/>
                <w:lang w:val="en-US"/>
              </w:rPr>
            </w:pPr>
            <w:r>
              <w:rPr>
                <w:rFonts w:cstheme="minorHAnsi"/>
                <w:b/>
                <w:bCs/>
                <w:lang w:val="en"/>
              </w:rPr>
              <w:t>6 months 2024/2023*</w:t>
            </w:r>
          </w:p>
        </w:tc>
      </w:tr>
      <w:tr w:rsidR="00EC62A2" w14:paraId="62457B2B" w14:textId="77777777" w:rsidTr="00CF7FFA">
        <w:tc>
          <w:tcPr>
            <w:tcW w:w="3829" w:type="dxa"/>
            <w:tcMar>
              <w:top w:w="113" w:type="dxa"/>
              <w:left w:w="91" w:type="dxa"/>
              <w:bottom w:w="113" w:type="dxa"/>
              <w:right w:w="91" w:type="dxa"/>
            </w:tcMar>
            <w:vAlign w:val="center"/>
          </w:tcPr>
          <w:p w14:paraId="62BC26CF" w14:textId="77777777" w:rsidR="00EC62A2" w:rsidRPr="002E22F8" w:rsidRDefault="00EC62A2" w:rsidP="00CF7FFA">
            <w:pPr>
              <w:suppressAutoHyphens/>
              <w:autoSpaceDE w:val="0"/>
              <w:autoSpaceDN w:val="0"/>
              <w:adjustRightInd w:val="0"/>
              <w:spacing w:after="0" w:line="240" w:lineRule="auto"/>
              <w:textAlignment w:val="center"/>
              <w:rPr>
                <w:rFonts w:cstheme="minorHAnsi"/>
                <w:lang w:val="en-GB"/>
              </w:rPr>
            </w:pPr>
            <w:r w:rsidRPr="00B955A0">
              <w:rPr>
                <w:rFonts w:cstheme="minorHAnsi"/>
                <w:lang w:val="en"/>
              </w:rPr>
              <w:t xml:space="preserve">Chairs and seating furniture, dining, living, bedroom, bathroom, garden, and </w:t>
            </w:r>
            <w:r>
              <w:rPr>
                <w:rFonts w:cstheme="minorHAnsi"/>
                <w:lang w:val="en"/>
              </w:rPr>
              <w:t>outdoor</w:t>
            </w:r>
            <w:r w:rsidRPr="00B955A0">
              <w:rPr>
                <w:rFonts w:cstheme="minorHAnsi"/>
                <w:lang w:val="en"/>
              </w:rPr>
              <w:t xml:space="preserve"> furniture </w:t>
            </w:r>
          </w:p>
        </w:tc>
        <w:tc>
          <w:tcPr>
            <w:tcW w:w="1133" w:type="dxa"/>
            <w:vAlign w:val="center"/>
          </w:tcPr>
          <w:p w14:paraId="6729C2D7" w14:textId="77777777" w:rsidR="00EC62A2" w:rsidRPr="00B955A0" w:rsidRDefault="00EC62A2" w:rsidP="00CF7FFA">
            <w:pPr>
              <w:suppressAutoHyphens/>
              <w:autoSpaceDE w:val="0"/>
              <w:autoSpaceDN w:val="0"/>
              <w:adjustRightInd w:val="0"/>
              <w:spacing w:after="0" w:line="240" w:lineRule="auto"/>
              <w:ind w:right="181"/>
              <w:jc w:val="center"/>
              <w:textAlignment w:val="center"/>
              <w:rPr>
                <w:rFonts w:cstheme="minorHAnsi"/>
                <w:lang w:val="fr-FR"/>
              </w:rPr>
            </w:pPr>
            <w:r w:rsidRPr="00B955A0">
              <w:rPr>
                <w:rFonts w:cstheme="minorHAnsi"/>
                <w:lang w:val="en"/>
              </w:rPr>
              <w:t>878.4</w:t>
            </w:r>
          </w:p>
        </w:tc>
        <w:tc>
          <w:tcPr>
            <w:tcW w:w="1275" w:type="dxa"/>
            <w:vAlign w:val="center"/>
          </w:tcPr>
          <w:p w14:paraId="4824A4AC" w14:textId="77777777" w:rsidR="00EC62A2" w:rsidRPr="00B955A0" w:rsidRDefault="00EC62A2" w:rsidP="00CF7FFA">
            <w:pPr>
              <w:suppressAutoHyphens/>
              <w:autoSpaceDE w:val="0"/>
              <w:autoSpaceDN w:val="0"/>
              <w:adjustRightInd w:val="0"/>
              <w:spacing w:after="0" w:line="240" w:lineRule="auto"/>
              <w:ind w:right="181"/>
              <w:jc w:val="center"/>
              <w:textAlignment w:val="center"/>
              <w:rPr>
                <w:rFonts w:cstheme="minorHAnsi"/>
                <w:lang w:val="fr-FR"/>
              </w:rPr>
            </w:pPr>
            <w:r w:rsidRPr="00B955A0">
              <w:rPr>
                <w:rFonts w:cstheme="minorHAnsi"/>
                <w:lang w:val="en"/>
              </w:rPr>
              <w:t>-5.5%</w:t>
            </w:r>
          </w:p>
        </w:tc>
        <w:tc>
          <w:tcPr>
            <w:tcW w:w="1276" w:type="dxa"/>
            <w:vAlign w:val="center"/>
          </w:tcPr>
          <w:p w14:paraId="40CE29E9" w14:textId="77777777" w:rsidR="00EC62A2" w:rsidRPr="00B955A0" w:rsidRDefault="00EC62A2" w:rsidP="00CF7FFA">
            <w:pPr>
              <w:suppressAutoHyphens/>
              <w:autoSpaceDE w:val="0"/>
              <w:autoSpaceDN w:val="0"/>
              <w:adjustRightInd w:val="0"/>
              <w:spacing w:after="0" w:line="240" w:lineRule="auto"/>
              <w:ind w:right="181"/>
              <w:jc w:val="center"/>
              <w:textAlignment w:val="center"/>
              <w:rPr>
                <w:rFonts w:cstheme="minorHAnsi"/>
                <w:lang w:val="fr-FR"/>
              </w:rPr>
            </w:pPr>
            <w:r w:rsidRPr="00B955A0">
              <w:rPr>
                <w:rFonts w:cstheme="minorHAnsi"/>
                <w:lang w:val="en"/>
              </w:rPr>
              <w:t>-11.0%</w:t>
            </w:r>
          </w:p>
        </w:tc>
        <w:tc>
          <w:tcPr>
            <w:tcW w:w="1134" w:type="dxa"/>
            <w:vAlign w:val="center"/>
          </w:tcPr>
          <w:p w14:paraId="402A97CD" w14:textId="77777777" w:rsidR="00EC62A2" w:rsidRPr="00B955A0" w:rsidRDefault="00EC62A2" w:rsidP="00CF7FFA">
            <w:pPr>
              <w:suppressAutoHyphens/>
              <w:autoSpaceDE w:val="0"/>
              <w:autoSpaceDN w:val="0"/>
              <w:adjustRightInd w:val="0"/>
              <w:spacing w:after="0" w:line="240" w:lineRule="auto"/>
              <w:ind w:right="181"/>
              <w:jc w:val="center"/>
              <w:textAlignment w:val="center"/>
              <w:rPr>
                <w:rFonts w:cstheme="minorHAnsi"/>
                <w:lang w:val="fr-FR"/>
              </w:rPr>
            </w:pPr>
            <w:r>
              <w:rPr>
                <w:rFonts w:cstheme="minorHAnsi"/>
                <w:lang w:val="en"/>
              </w:rPr>
              <w:t>440.0</w:t>
            </w:r>
          </w:p>
        </w:tc>
        <w:tc>
          <w:tcPr>
            <w:tcW w:w="1134" w:type="dxa"/>
            <w:vAlign w:val="center"/>
          </w:tcPr>
          <w:p w14:paraId="3D0E6A3D" w14:textId="77777777" w:rsidR="00EC62A2" w:rsidRPr="00B955A0" w:rsidRDefault="00EC62A2" w:rsidP="00CF7FFA">
            <w:pPr>
              <w:suppressAutoHyphens/>
              <w:autoSpaceDE w:val="0"/>
              <w:autoSpaceDN w:val="0"/>
              <w:adjustRightInd w:val="0"/>
              <w:spacing w:after="0" w:line="240" w:lineRule="auto"/>
              <w:ind w:right="181"/>
              <w:jc w:val="center"/>
              <w:textAlignment w:val="center"/>
              <w:rPr>
                <w:rFonts w:cstheme="minorHAnsi"/>
                <w:lang w:val="fr-FR"/>
              </w:rPr>
            </w:pPr>
            <w:r>
              <w:rPr>
                <w:rFonts w:cstheme="minorHAnsi"/>
                <w:lang w:val="en"/>
              </w:rPr>
              <w:t>-4.5%</w:t>
            </w:r>
          </w:p>
        </w:tc>
        <w:tc>
          <w:tcPr>
            <w:tcW w:w="1134" w:type="dxa"/>
            <w:vAlign w:val="center"/>
          </w:tcPr>
          <w:p w14:paraId="6D0E8D09" w14:textId="77777777" w:rsidR="00EC62A2" w:rsidRPr="00B955A0" w:rsidRDefault="00EC62A2" w:rsidP="00CF7FFA">
            <w:pPr>
              <w:suppressAutoHyphens/>
              <w:autoSpaceDE w:val="0"/>
              <w:autoSpaceDN w:val="0"/>
              <w:adjustRightInd w:val="0"/>
              <w:spacing w:after="0" w:line="240" w:lineRule="auto"/>
              <w:ind w:right="181"/>
              <w:jc w:val="center"/>
              <w:textAlignment w:val="center"/>
              <w:rPr>
                <w:lang w:val="fr-FR"/>
              </w:rPr>
            </w:pPr>
            <w:r w:rsidRPr="1C83DAF5">
              <w:rPr>
                <w:lang w:val="en"/>
              </w:rPr>
              <w:t>-6.9%</w:t>
            </w:r>
          </w:p>
        </w:tc>
      </w:tr>
      <w:tr w:rsidR="00EC62A2" w14:paraId="6997CF65" w14:textId="77777777" w:rsidTr="00CF7FFA">
        <w:tc>
          <w:tcPr>
            <w:tcW w:w="3829" w:type="dxa"/>
            <w:tcMar>
              <w:top w:w="113" w:type="dxa"/>
              <w:left w:w="91" w:type="dxa"/>
              <w:bottom w:w="113" w:type="dxa"/>
              <w:right w:w="91" w:type="dxa"/>
            </w:tcMar>
            <w:vAlign w:val="center"/>
          </w:tcPr>
          <w:p w14:paraId="1E9305DA" w14:textId="77777777" w:rsidR="00EC62A2" w:rsidRPr="00B955A0" w:rsidRDefault="00EC62A2" w:rsidP="00CF7FFA">
            <w:pPr>
              <w:suppressAutoHyphens/>
              <w:autoSpaceDE w:val="0"/>
              <w:autoSpaceDN w:val="0"/>
              <w:adjustRightInd w:val="0"/>
              <w:spacing w:after="0" w:line="240" w:lineRule="auto"/>
              <w:textAlignment w:val="center"/>
              <w:rPr>
                <w:rFonts w:cstheme="minorHAnsi"/>
                <w:lang w:val="nl-NL"/>
              </w:rPr>
            </w:pPr>
            <w:r w:rsidRPr="00B955A0">
              <w:rPr>
                <w:rFonts w:cstheme="minorHAnsi"/>
                <w:spacing w:val="-2"/>
                <w:lang w:val="en"/>
              </w:rPr>
              <w:t xml:space="preserve">Office and shop furniture </w:t>
            </w:r>
          </w:p>
        </w:tc>
        <w:tc>
          <w:tcPr>
            <w:tcW w:w="1133" w:type="dxa"/>
            <w:vAlign w:val="center"/>
          </w:tcPr>
          <w:p w14:paraId="09543EE3" w14:textId="77777777" w:rsidR="00EC62A2" w:rsidRPr="00B955A0" w:rsidRDefault="00EC62A2" w:rsidP="00CF7FFA">
            <w:pPr>
              <w:suppressAutoHyphens/>
              <w:autoSpaceDE w:val="0"/>
              <w:autoSpaceDN w:val="0"/>
              <w:adjustRightInd w:val="0"/>
              <w:spacing w:after="0" w:line="240" w:lineRule="auto"/>
              <w:ind w:right="181"/>
              <w:jc w:val="center"/>
              <w:textAlignment w:val="center"/>
              <w:rPr>
                <w:rFonts w:cstheme="minorHAnsi"/>
                <w:lang w:val="fr-FR"/>
              </w:rPr>
            </w:pPr>
            <w:r w:rsidRPr="00B955A0">
              <w:rPr>
                <w:rFonts w:cstheme="minorHAnsi"/>
                <w:lang w:val="en"/>
              </w:rPr>
              <w:t>489.4</w:t>
            </w:r>
          </w:p>
        </w:tc>
        <w:tc>
          <w:tcPr>
            <w:tcW w:w="1275" w:type="dxa"/>
            <w:vAlign w:val="center"/>
          </w:tcPr>
          <w:p w14:paraId="7FFD30E6" w14:textId="77777777" w:rsidR="00EC62A2" w:rsidRPr="00B955A0" w:rsidRDefault="00EC62A2" w:rsidP="00CF7FFA">
            <w:pPr>
              <w:suppressAutoHyphens/>
              <w:autoSpaceDE w:val="0"/>
              <w:autoSpaceDN w:val="0"/>
              <w:adjustRightInd w:val="0"/>
              <w:spacing w:after="0" w:line="240" w:lineRule="auto"/>
              <w:ind w:right="181"/>
              <w:jc w:val="center"/>
              <w:textAlignment w:val="center"/>
              <w:rPr>
                <w:rFonts w:cstheme="minorHAnsi"/>
                <w:lang w:val="fr-FR"/>
              </w:rPr>
            </w:pPr>
            <w:r w:rsidRPr="00B955A0">
              <w:rPr>
                <w:rFonts w:cstheme="minorHAnsi"/>
                <w:lang w:val="en"/>
              </w:rPr>
              <w:t>-14.6%</w:t>
            </w:r>
          </w:p>
        </w:tc>
        <w:tc>
          <w:tcPr>
            <w:tcW w:w="1276" w:type="dxa"/>
            <w:vAlign w:val="center"/>
          </w:tcPr>
          <w:p w14:paraId="2F49EEBA" w14:textId="77777777" w:rsidR="00EC62A2" w:rsidRPr="00B955A0" w:rsidRDefault="00EC62A2" w:rsidP="00CF7FFA">
            <w:pPr>
              <w:suppressAutoHyphens/>
              <w:autoSpaceDE w:val="0"/>
              <w:autoSpaceDN w:val="0"/>
              <w:adjustRightInd w:val="0"/>
              <w:spacing w:after="0" w:line="240" w:lineRule="auto"/>
              <w:ind w:right="181"/>
              <w:jc w:val="center"/>
              <w:textAlignment w:val="center"/>
              <w:rPr>
                <w:rFonts w:cstheme="minorHAnsi"/>
                <w:lang w:val="fr-FR"/>
              </w:rPr>
            </w:pPr>
            <w:r w:rsidRPr="00B955A0">
              <w:rPr>
                <w:rFonts w:cstheme="minorHAnsi"/>
                <w:lang w:val="en"/>
              </w:rPr>
              <w:t>-15.8%</w:t>
            </w:r>
          </w:p>
        </w:tc>
        <w:tc>
          <w:tcPr>
            <w:tcW w:w="1134" w:type="dxa"/>
            <w:vAlign w:val="center"/>
          </w:tcPr>
          <w:p w14:paraId="4258231F" w14:textId="77777777" w:rsidR="00EC62A2" w:rsidRPr="00B955A0" w:rsidRDefault="00EC62A2" w:rsidP="00CF7FFA">
            <w:pPr>
              <w:suppressAutoHyphens/>
              <w:autoSpaceDE w:val="0"/>
              <w:autoSpaceDN w:val="0"/>
              <w:adjustRightInd w:val="0"/>
              <w:spacing w:after="0" w:line="240" w:lineRule="auto"/>
              <w:ind w:right="181"/>
              <w:jc w:val="center"/>
              <w:textAlignment w:val="center"/>
              <w:rPr>
                <w:rFonts w:cstheme="minorHAnsi"/>
                <w:lang w:val="fr-FR"/>
              </w:rPr>
            </w:pPr>
            <w:r>
              <w:rPr>
                <w:rFonts w:cstheme="minorHAnsi"/>
                <w:lang w:val="en"/>
              </w:rPr>
              <w:t>230.4</w:t>
            </w:r>
          </w:p>
        </w:tc>
        <w:tc>
          <w:tcPr>
            <w:tcW w:w="1134" w:type="dxa"/>
            <w:vAlign w:val="center"/>
          </w:tcPr>
          <w:p w14:paraId="4A483607" w14:textId="77777777" w:rsidR="00EC62A2" w:rsidRPr="00B955A0" w:rsidRDefault="00EC62A2" w:rsidP="00CF7FFA">
            <w:pPr>
              <w:suppressAutoHyphens/>
              <w:autoSpaceDE w:val="0"/>
              <w:autoSpaceDN w:val="0"/>
              <w:adjustRightInd w:val="0"/>
              <w:spacing w:after="0" w:line="240" w:lineRule="auto"/>
              <w:ind w:right="181"/>
              <w:jc w:val="center"/>
              <w:textAlignment w:val="center"/>
              <w:rPr>
                <w:rFonts w:cstheme="minorHAnsi"/>
                <w:lang w:val="fr-FR"/>
              </w:rPr>
            </w:pPr>
            <w:r>
              <w:rPr>
                <w:rFonts w:cstheme="minorHAnsi"/>
                <w:lang w:val="en"/>
              </w:rPr>
              <w:t>-11.1%</w:t>
            </w:r>
          </w:p>
        </w:tc>
        <w:tc>
          <w:tcPr>
            <w:tcW w:w="1134" w:type="dxa"/>
            <w:vAlign w:val="center"/>
          </w:tcPr>
          <w:p w14:paraId="4F4D753F" w14:textId="77777777" w:rsidR="00EC62A2" w:rsidRPr="00B955A0" w:rsidRDefault="00EC62A2" w:rsidP="00CF7FFA">
            <w:pPr>
              <w:suppressAutoHyphens/>
              <w:autoSpaceDE w:val="0"/>
              <w:autoSpaceDN w:val="0"/>
              <w:adjustRightInd w:val="0"/>
              <w:spacing w:after="0" w:line="240" w:lineRule="auto"/>
              <w:ind w:right="181"/>
              <w:jc w:val="center"/>
              <w:textAlignment w:val="center"/>
              <w:rPr>
                <w:lang w:val="fr-FR"/>
              </w:rPr>
            </w:pPr>
            <w:r w:rsidRPr="1C83DAF5">
              <w:rPr>
                <w:lang w:val="en"/>
              </w:rPr>
              <w:t>-2.7%</w:t>
            </w:r>
          </w:p>
        </w:tc>
      </w:tr>
      <w:tr w:rsidR="00EC62A2" w14:paraId="6CEBD746" w14:textId="77777777" w:rsidTr="00CF7FFA">
        <w:tc>
          <w:tcPr>
            <w:tcW w:w="3829" w:type="dxa"/>
            <w:tcMar>
              <w:top w:w="113" w:type="dxa"/>
              <w:left w:w="91" w:type="dxa"/>
              <w:bottom w:w="113" w:type="dxa"/>
              <w:right w:w="91" w:type="dxa"/>
            </w:tcMar>
            <w:vAlign w:val="center"/>
          </w:tcPr>
          <w:p w14:paraId="7FFC49E7" w14:textId="77777777" w:rsidR="00EC62A2" w:rsidRPr="00B955A0" w:rsidRDefault="00EC62A2" w:rsidP="00CF7FFA">
            <w:pPr>
              <w:suppressAutoHyphens/>
              <w:autoSpaceDE w:val="0"/>
              <w:autoSpaceDN w:val="0"/>
              <w:adjustRightInd w:val="0"/>
              <w:spacing w:after="0" w:line="240" w:lineRule="auto"/>
              <w:textAlignment w:val="center"/>
              <w:rPr>
                <w:rFonts w:cstheme="minorHAnsi"/>
                <w:lang w:val="nl-NL"/>
              </w:rPr>
            </w:pPr>
            <w:r w:rsidRPr="00B955A0">
              <w:rPr>
                <w:rFonts w:cstheme="minorHAnsi"/>
                <w:lang w:val="en"/>
              </w:rPr>
              <w:t xml:space="preserve">Kitchen furniture </w:t>
            </w:r>
          </w:p>
        </w:tc>
        <w:tc>
          <w:tcPr>
            <w:tcW w:w="1133" w:type="dxa"/>
            <w:vAlign w:val="center"/>
          </w:tcPr>
          <w:p w14:paraId="0CAC188F" w14:textId="77777777" w:rsidR="00EC62A2" w:rsidRPr="00B955A0" w:rsidRDefault="00EC62A2" w:rsidP="00CF7FFA">
            <w:pPr>
              <w:suppressAutoHyphens/>
              <w:autoSpaceDE w:val="0"/>
              <w:autoSpaceDN w:val="0"/>
              <w:adjustRightInd w:val="0"/>
              <w:spacing w:after="0" w:line="240" w:lineRule="auto"/>
              <w:ind w:right="181"/>
              <w:jc w:val="center"/>
              <w:textAlignment w:val="center"/>
              <w:rPr>
                <w:rFonts w:cstheme="minorHAnsi"/>
                <w:lang w:val="fr-FR"/>
              </w:rPr>
            </w:pPr>
            <w:r w:rsidRPr="00B955A0">
              <w:rPr>
                <w:rFonts w:cstheme="minorHAnsi"/>
                <w:lang w:val="en"/>
              </w:rPr>
              <w:t>517.5</w:t>
            </w:r>
          </w:p>
        </w:tc>
        <w:tc>
          <w:tcPr>
            <w:tcW w:w="1275" w:type="dxa"/>
            <w:vAlign w:val="center"/>
          </w:tcPr>
          <w:p w14:paraId="4136E052" w14:textId="77777777" w:rsidR="00EC62A2" w:rsidRPr="00B955A0" w:rsidRDefault="00EC62A2" w:rsidP="00CF7FFA">
            <w:pPr>
              <w:suppressAutoHyphens/>
              <w:autoSpaceDE w:val="0"/>
              <w:autoSpaceDN w:val="0"/>
              <w:adjustRightInd w:val="0"/>
              <w:spacing w:after="0" w:line="240" w:lineRule="auto"/>
              <w:ind w:right="181"/>
              <w:jc w:val="center"/>
              <w:textAlignment w:val="center"/>
              <w:rPr>
                <w:rFonts w:cstheme="minorHAnsi"/>
                <w:lang w:val="fr-FR"/>
              </w:rPr>
            </w:pPr>
            <w:r w:rsidRPr="00B955A0">
              <w:rPr>
                <w:rFonts w:cstheme="minorHAnsi"/>
                <w:lang w:val="en"/>
              </w:rPr>
              <w:t>+0.8%</w:t>
            </w:r>
          </w:p>
        </w:tc>
        <w:tc>
          <w:tcPr>
            <w:tcW w:w="1276" w:type="dxa"/>
            <w:vAlign w:val="center"/>
          </w:tcPr>
          <w:p w14:paraId="7148705E" w14:textId="77777777" w:rsidR="00EC62A2" w:rsidRPr="00B955A0" w:rsidRDefault="00EC62A2" w:rsidP="00CF7FFA">
            <w:pPr>
              <w:suppressAutoHyphens/>
              <w:autoSpaceDE w:val="0"/>
              <w:autoSpaceDN w:val="0"/>
              <w:adjustRightInd w:val="0"/>
              <w:spacing w:after="0" w:line="240" w:lineRule="auto"/>
              <w:ind w:right="181"/>
              <w:jc w:val="center"/>
              <w:textAlignment w:val="center"/>
              <w:rPr>
                <w:rFonts w:cstheme="minorHAnsi"/>
                <w:lang w:val="fr-FR"/>
              </w:rPr>
            </w:pPr>
            <w:r w:rsidRPr="00B955A0">
              <w:rPr>
                <w:rFonts w:cstheme="minorHAnsi"/>
                <w:lang w:val="en"/>
              </w:rPr>
              <w:t>-7.8%</w:t>
            </w:r>
          </w:p>
        </w:tc>
        <w:tc>
          <w:tcPr>
            <w:tcW w:w="1134" w:type="dxa"/>
            <w:vAlign w:val="center"/>
          </w:tcPr>
          <w:p w14:paraId="030BCA67" w14:textId="77777777" w:rsidR="00EC62A2" w:rsidRPr="00B955A0" w:rsidRDefault="00EC62A2" w:rsidP="00CF7FFA">
            <w:pPr>
              <w:suppressAutoHyphens/>
              <w:autoSpaceDE w:val="0"/>
              <w:autoSpaceDN w:val="0"/>
              <w:adjustRightInd w:val="0"/>
              <w:spacing w:after="0" w:line="240" w:lineRule="auto"/>
              <w:ind w:right="181"/>
              <w:jc w:val="center"/>
              <w:textAlignment w:val="center"/>
              <w:rPr>
                <w:rFonts w:cstheme="minorHAnsi"/>
                <w:lang w:val="fr-FR"/>
              </w:rPr>
            </w:pPr>
            <w:r>
              <w:rPr>
                <w:rFonts w:cstheme="minorHAnsi"/>
                <w:lang w:val="en"/>
              </w:rPr>
              <w:t>252.8</w:t>
            </w:r>
          </w:p>
        </w:tc>
        <w:tc>
          <w:tcPr>
            <w:tcW w:w="1134" w:type="dxa"/>
            <w:vAlign w:val="center"/>
          </w:tcPr>
          <w:p w14:paraId="76607575" w14:textId="77777777" w:rsidR="00EC62A2" w:rsidRPr="00B955A0" w:rsidRDefault="00EC62A2" w:rsidP="00CF7FFA">
            <w:pPr>
              <w:suppressAutoHyphens/>
              <w:autoSpaceDE w:val="0"/>
              <w:autoSpaceDN w:val="0"/>
              <w:adjustRightInd w:val="0"/>
              <w:spacing w:after="0" w:line="240" w:lineRule="auto"/>
              <w:ind w:right="181"/>
              <w:jc w:val="center"/>
              <w:textAlignment w:val="center"/>
              <w:rPr>
                <w:rFonts w:cstheme="minorHAnsi"/>
                <w:lang w:val="fr-FR"/>
              </w:rPr>
            </w:pPr>
            <w:r>
              <w:rPr>
                <w:rFonts w:cstheme="minorHAnsi"/>
                <w:lang w:val="en"/>
              </w:rPr>
              <w:t>-8.1%</w:t>
            </w:r>
          </w:p>
        </w:tc>
        <w:tc>
          <w:tcPr>
            <w:tcW w:w="1134" w:type="dxa"/>
            <w:vAlign w:val="center"/>
          </w:tcPr>
          <w:p w14:paraId="6D86F181" w14:textId="77777777" w:rsidR="00EC62A2" w:rsidRPr="00B955A0" w:rsidRDefault="00EC62A2" w:rsidP="00CF7FFA">
            <w:pPr>
              <w:suppressAutoHyphens/>
              <w:autoSpaceDE w:val="0"/>
              <w:autoSpaceDN w:val="0"/>
              <w:adjustRightInd w:val="0"/>
              <w:spacing w:after="0" w:line="240" w:lineRule="auto"/>
              <w:ind w:right="181"/>
              <w:jc w:val="center"/>
              <w:textAlignment w:val="center"/>
              <w:rPr>
                <w:lang w:val="fr-FR"/>
              </w:rPr>
            </w:pPr>
            <w:r w:rsidRPr="1C83DAF5">
              <w:rPr>
                <w:lang w:val="en"/>
              </w:rPr>
              <w:t>-10.3%</w:t>
            </w:r>
          </w:p>
        </w:tc>
      </w:tr>
      <w:tr w:rsidR="00EC62A2" w14:paraId="3E7C723F" w14:textId="77777777" w:rsidTr="00CF7FFA">
        <w:tc>
          <w:tcPr>
            <w:tcW w:w="3829" w:type="dxa"/>
            <w:tcMar>
              <w:top w:w="113" w:type="dxa"/>
              <w:left w:w="91" w:type="dxa"/>
              <w:bottom w:w="113" w:type="dxa"/>
              <w:right w:w="91" w:type="dxa"/>
            </w:tcMar>
            <w:vAlign w:val="center"/>
          </w:tcPr>
          <w:p w14:paraId="2EAE8A8C" w14:textId="77777777" w:rsidR="00EC62A2" w:rsidRPr="00B955A0" w:rsidRDefault="00EC62A2" w:rsidP="00CF7FFA">
            <w:pPr>
              <w:suppressAutoHyphens/>
              <w:autoSpaceDE w:val="0"/>
              <w:autoSpaceDN w:val="0"/>
              <w:adjustRightInd w:val="0"/>
              <w:spacing w:after="0" w:line="240" w:lineRule="auto"/>
              <w:textAlignment w:val="center"/>
              <w:rPr>
                <w:rFonts w:cstheme="minorHAnsi"/>
                <w:lang w:val="nl-NL"/>
              </w:rPr>
            </w:pPr>
            <w:r w:rsidRPr="00B955A0">
              <w:rPr>
                <w:rFonts w:cstheme="minorHAnsi"/>
                <w:lang w:val="en"/>
              </w:rPr>
              <w:t>Mattresses and bed bases</w:t>
            </w:r>
          </w:p>
        </w:tc>
        <w:tc>
          <w:tcPr>
            <w:tcW w:w="1133" w:type="dxa"/>
            <w:vAlign w:val="center"/>
          </w:tcPr>
          <w:p w14:paraId="7905E8E9" w14:textId="77777777" w:rsidR="00EC62A2" w:rsidRPr="00B955A0" w:rsidRDefault="00EC62A2" w:rsidP="00CF7FFA">
            <w:pPr>
              <w:suppressAutoHyphens/>
              <w:autoSpaceDE w:val="0"/>
              <w:autoSpaceDN w:val="0"/>
              <w:adjustRightInd w:val="0"/>
              <w:spacing w:after="0" w:line="240" w:lineRule="auto"/>
              <w:ind w:right="181"/>
              <w:jc w:val="center"/>
              <w:textAlignment w:val="center"/>
              <w:rPr>
                <w:rFonts w:cstheme="minorHAnsi"/>
                <w:lang w:val="fr-FR"/>
              </w:rPr>
            </w:pPr>
            <w:r w:rsidRPr="00B955A0">
              <w:rPr>
                <w:rFonts w:cstheme="minorHAnsi"/>
                <w:lang w:val="en"/>
              </w:rPr>
              <w:t>218.7</w:t>
            </w:r>
          </w:p>
        </w:tc>
        <w:tc>
          <w:tcPr>
            <w:tcW w:w="1275" w:type="dxa"/>
            <w:vAlign w:val="center"/>
          </w:tcPr>
          <w:p w14:paraId="72C51A7E" w14:textId="77777777" w:rsidR="00EC62A2" w:rsidRPr="00B955A0" w:rsidRDefault="00EC62A2" w:rsidP="00CF7FFA">
            <w:pPr>
              <w:suppressAutoHyphens/>
              <w:autoSpaceDE w:val="0"/>
              <w:autoSpaceDN w:val="0"/>
              <w:adjustRightInd w:val="0"/>
              <w:spacing w:after="0" w:line="240" w:lineRule="auto"/>
              <w:ind w:right="181"/>
              <w:jc w:val="center"/>
              <w:textAlignment w:val="center"/>
              <w:rPr>
                <w:rFonts w:cstheme="minorHAnsi"/>
                <w:lang w:val="fr-FR"/>
              </w:rPr>
            </w:pPr>
            <w:r w:rsidRPr="00B955A0">
              <w:rPr>
                <w:rFonts w:cstheme="minorHAnsi"/>
                <w:lang w:val="en"/>
              </w:rPr>
              <w:t>-11.7%</w:t>
            </w:r>
          </w:p>
        </w:tc>
        <w:tc>
          <w:tcPr>
            <w:tcW w:w="1276" w:type="dxa"/>
            <w:vAlign w:val="center"/>
          </w:tcPr>
          <w:p w14:paraId="0E964AB0" w14:textId="77777777" w:rsidR="00EC62A2" w:rsidRPr="00B955A0" w:rsidRDefault="00EC62A2" w:rsidP="00CF7FFA">
            <w:pPr>
              <w:suppressAutoHyphens/>
              <w:autoSpaceDE w:val="0"/>
              <w:autoSpaceDN w:val="0"/>
              <w:adjustRightInd w:val="0"/>
              <w:spacing w:after="0" w:line="240" w:lineRule="auto"/>
              <w:ind w:right="181"/>
              <w:jc w:val="center"/>
              <w:textAlignment w:val="center"/>
              <w:rPr>
                <w:rFonts w:cstheme="minorHAnsi"/>
                <w:lang w:val="fr-FR"/>
              </w:rPr>
            </w:pPr>
            <w:r w:rsidRPr="00B955A0">
              <w:rPr>
                <w:rFonts w:cstheme="minorHAnsi"/>
                <w:lang w:val="en"/>
              </w:rPr>
              <w:t>-138%</w:t>
            </w:r>
          </w:p>
        </w:tc>
        <w:tc>
          <w:tcPr>
            <w:tcW w:w="1134" w:type="dxa"/>
            <w:vAlign w:val="center"/>
          </w:tcPr>
          <w:p w14:paraId="36BBFF9B" w14:textId="77777777" w:rsidR="00EC62A2" w:rsidRPr="00B955A0" w:rsidRDefault="00EC62A2" w:rsidP="00CF7FFA">
            <w:pPr>
              <w:suppressAutoHyphens/>
              <w:autoSpaceDE w:val="0"/>
              <w:autoSpaceDN w:val="0"/>
              <w:adjustRightInd w:val="0"/>
              <w:spacing w:after="0" w:line="240" w:lineRule="auto"/>
              <w:ind w:right="181"/>
              <w:jc w:val="center"/>
              <w:textAlignment w:val="center"/>
              <w:rPr>
                <w:rFonts w:cstheme="minorHAnsi"/>
                <w:lang w:val="fr-FR"/>
              </w:rPr>
            </w:pPr>
            <w:r>
              <w:rPr>
                <w:rFonts w:cstheme="minorHAnsi"/>
                <w:lang w:val="en"/>
              </w:rPr>
              <w:t>99.9</w:t>
            </w:r>
          </w:p>
        </w:tc>
        <w:tc>
          <w:tcPr>
            <w:tcW w:w="1134" w:type="dxa"/>
            <w:vAlign w:val="center"/>
          </w:tcPr>
          <w:p w14:paraId="6549A397" w14:textId="77777777" w:rsidR="00EC62A2" w:rsidRPr="00B955A0" w:rsidRDefault="00EC62A2" w:rsidP="00CF7FFA">
            <w:pPr>
              <w:suppressAutoHyphens/>
              <w:autoSpaceDE w:val="0"/>
              <w:autoSpaceDN w:val="0"/>
              <w:adjustRightInd w:val="0"/>
              <w:spacing w:after="0" w:line="240" w:lineRule="auto"/>
              <w:ind w:right="181"/>
              <w:jc w:val="center"/>
              <w:textAlignment w:val="center"/>
              <w:rPr>
                <w:rFonts w:cstheme="minorHAnsi"/>
                <w:lang w:val="fr-FR"/>
              </w:rPr>
            </w:pPr>
            <w:r>
              <w:rPr>
                <w:rFonts w:cstheme="minorHAnsi"/>
                <w:lang w:val="en"/>
              </w:rPr>
              <w:t>-13.0%</w:t>
            </w:r>
          </w:p>
        </w:tc>
        <w:tc>
          <w:tcPr>
            <w:tcW w:w="1134" w:type="dxa"/>
            <w:vAlign w:val="center"/>
          </w:tcPr>
          <w:p w14:paraId="5515C03B" w14:textId="77777777" w:rsidR="00EC62A2" w:rsidRPr="00B955A0" w:rsidRDefault="00EC62A2" w:rsidP="00CF7FFA">
            <w:pPr>
              <w:suppressAutoHyphens/>
              <w:autoSpaceDE w:val="0"/>
              <w:autoSpaceDN w:val="0"/>
              <w:adjustRightInd w:val="0"/>
              <w:spacing w:after="0" w:line="240" w:lineRule="auto"/>
              <w:ind w:right="181"/>
              <w:jc w:val="center"/>
              <w:textAlignment w:val="center"/>
              <w:rPr>
                <w:lang w:val="fr-FR"/>
              </w:rPr>
            </w:pPr>
            <w:r w:rsidRPr="1C83DAF5">
              <w:rPr>
                <w:lang w:val="en"/>
              </w:rPr>
              <w:t>-12.5%</w:t>
            </w:r>
          </w:p>
        </w:tc>
      </w:tr>
      <w:tr w:rsidR="00EC62A2" w14:paraId="51EEBCD2" w14:textId="77777777" w:rsidTr="00CF7FFA">
        <w:trPr>
          <w:trHeight w:val="24"/>
        </w:trPr>
        <w:tc>
          <w:tcPr>
            <w:tcW w:w="3829" w:type="dxa"/>
            <w:tcMar>
              <w:top w:w="91" w:type="dxa"/>
              <w:left w:w="91" w:type="dxa"/>
              <w:bottom w:w="91" w:type="dxa"/>
              <w:right w:w="91" w:type="dxa"/>
            </w:tcMar>
            <w:vAlign w:val="center"/>
          </w:tcPr>
          <w:p w14:paraId="4737BA6C" w14:textId="77777777" w:rsidR="00EC62A2" w:rsidRPr="00B955A0" w:rsidRDefault="00EC62A2" w:rsidP="00CF7FFA">
            <w:pPr>
              <w:suppressAutoHyphens/>
              <w:autoSpaceDE w:val="0"/>
              <w:autoSpaceDN w:val="0"/>
              <w:adjustRightInd w:val="0"/>
              <w:spacing w:after="0" w:line="240" w:lineRule="auto"/>
              <w:textAlignment w:val="center"/>
              <w:rPr>
                <w:rFonts w:cstheme="minorHAnsi"/>
                <w:lang w:val="nl-NL"/>
              </w:rPr>
            </w:pPr>
            <w:r w:rsidRPr="00B955A0">
              <w:rPr>
                <w:rFonts w:cstheme="minorHAnsi"/>
                <w:b/>
                <w:bCs/>
                <w:lang w:val="en"/>
              </w:rPr>
              <w:t>Furniture industry**</w:t>
            </w:r>
          </w:p>
        </w:tc>
        <w:tc>
          <w:tcPr>
            <w:tcW w:w="1133" w:type="dxa"/>
            <w:vAlign w:val="center"/>
          </w:tcPr>
          <w:p w14:paraId="3FF78B6A" w14:textId="77777777" w:rsidR="00EC62A2" w:rsidRPr="00B955A0" w:rsidRDefault="00EC62A2" w:rsidP="00CF7FFA">
            <w:pPr>
              <w:suppressAutoHyphens/>
              <w:autoSpaceDE w:val="0"/>
              <w:autoSpaceDN w:val="0"/>
              <w:adjustRightInd w:val="0"/>
              <w:spacing w:after="0" w:line="240" w:lineRule="auto"/>
              <w:ind w:right="181"/>
              <w:jc w:val="center"/>
              <w:textAlignment w:val="center"/>
              <w:rPr>
                <w:rFonts w:cstheme="minorHAnsi"/>
                <w:lang w:val="fr-FR"/>
              </w:rPr>
            </w:pPr>
            <w:r w:rsidRPr="00B955A0">
              <w:rPr>
                <w:rFonts w:cstheme="minorHAnsi"/>
                <w:b/>
                <w:bCs/>
                <w:lang w:val="en"/>
              </w:rPr>
              <w:t>2,104.0</w:t>
            </w:r>
          </w:p>
        </w:tc>
        <w:tc>
          <w:tcPr>
            <w:tcW w:w="1275" w:type="dxa"/>
            <w:vAlign w:val="center"/>
          </w:tcPr>
          <w:p w14:paraId="16AC349B" w14:textId="77777777" w:rsidR="00EC62A2" w:rsidRPr="00B955A0" w:rsidRDefault="00EC62A2" w:rsidP="00CF7FFA">
            <w:pPr>
              <w:suppressAutoHyphens/>
              <w:autoSpaceDE w:val="0"/>
              <w:autoSpaceDN w:val="0"/>
              <w:adjustRightInd w:val="0"/>
              <w:spacing w:after="0" w:line="240" w:lineRule="auto"/>
              <w:ind w:right="181"/>
              <w:jc w:val="center"/>
              <w:textAlignment w:val="center"/>
              <w:rPr>
                <w:rFonts w:cstheme="minorHAnsi"/>
                <w:lang w:val="fr-FR"/>
              </w:rPr>
            </w:pPr>
            <w:r w:rsidRPr="00B955A0">
              <w:rPr>
                <w:rFonts w:cstheme="minorHAnsi"/>
                <w:b/>
                <w:bCs/>
                <w:lang w:val="en"/>
              </w:rPr>
              <w:t>-7.0%</w:t>
            </w:r>
          </w:p>
        </w:tc>
        <w:tc>
          <w:tcPr>
            <w:tcW w:w="1276" w:type="dxa"/>
            <w:vAlign w:val="center"/>
          </w:tcPr>
          <w:p w14:paraId="676AE2A4" w14:textId="77777777" w:rsidR="00EC62A2" w:rsidRPr="00B955A0" w:rsidRDefault="00EC62A2" w:rsidP="00CF7FFA">
            <w:pPr>
              <w:suppressAutoHyphens/>
              <w:autoSpaceDE w:val="0"/>
              <w:autoSpaceDN w:val="0"/>
              <w:adjustRightInd w:val="0"/>
              <w:spacing w:after="0" w:line="240" w:lineRule="auto"/>
              <w:ind w:right="181"/>
              <w:jc w:val="center"/>
              <w:textAlignment w:val="center"/>
              <w:rPr>
                <w:rFonts w:cstheme="minorHAnsi"/>
                <w:lang w:val="fr-FR"/>
              </w:rPr>
            </w:pPr>
            <w:r w:rsidRPr="00B955A0">
              <w:rPr>
                <w:rFonts w:cstheme="minorHAnsi"/>
                <w:b/>
                <w:bCs/>
                <w:lang w:val="en"/>
              </w:rPr>
              <w:t>-10.9%</w:t>
            </w:r>
          </w:p>
        </w:tc>
        <w:tc>
          <w:tcPr>
            <w:tcW w:w="1134" w:type="dxa"/>
            <w:vAlign w:val="center"/>
          </w:tcPr>
          <w:p w14:paraId="0A85A099" w14:textId="77777777" w:rsidR="00EC62A2" w:rsidRPr="00B955A0" w:rsidRDefault="00EC62A2" w:rsidP="00CF7FFA">
            <w:pPr>
              <w:suppressAutoHyphens/>
              <w:autoSpaceDE w:val="0"/>
              <w:autoSpaceDN w:val="0"/>
              <w:adjustRightInd w:val="0"/>
              <w:spacing w:after="0" w:line="240" w:lineRule="auto"/>
              <w:ind w:right="181"/>
              <w:jc w:val="center"/>
              <w:textAlignment w:val="center"/>
              <w:rPr>
                <w:rFonts w:cstheme="minorHAnsi"/>
                <w:b/>
                <w:bCs/>
                <w:lang w:val="fr-FR"/>
              </w:rPr>
            </w:pPr>
            <w:r>
              <w:rPr>
                <w:rFonts w:cstheme="minorHAnsi"/>
                <w:b/>
                <w:bCs/>
                <w:lang w:val="en"/>
              </w:rPr>
              <w:t>1,023.1</w:t>
            </w:r>
          </w:p>
        </w:tc>
        <w:tc>
          <w:tcPr>
            <w:tcW w:w="1134" w:type="dxa"/>
            <w:vAlign w:val="center"/>
          </w:tcPr>
          <w:p w14:paraId="436EBA17" w14:textId="77777777" w:rsidR="00EC62A2" w:rsidRPr="00B955A0" w:rsidRDefault="00EC62A2" w:rsidP="00CF7FFA">
            <w:pPr>
              <w:suppressAutoHyphens/>
              <w:autoSpaceDE w:val="0"/>
              <w:autoSpaceDN w:val="0"/>
              <w:adjustRightInd w:val="0"/>
              <w:spacing w:after="0" w:line="240" w:lineRule="auto"/>
              <w:ind w:right="181"/>
              <w:jc w:val="center"/>
              <w:textAlignment w:val="center"/>
              <w:rPr>
                <w:rFonts w:cstheme="minorHAnsi"/>
                <w:b/>
                <w:bCs/>
                <w:lang w:val="fr-FR"/>
              </w:rPr>
            </w:pPr>
            <w:r>
              <w:rPr>
                <w:rFonts w:cstheme="minorHAnsi"/>
                <w:b/>
                <w:bCs/>
                <w:lang w:val="en"/>
              </w:rPr>
              <w:t>-7.8%</w:t>
            </w:r>
          </w:p>
        </w:tc>
        <w:tc>
          <w:tcPr>
            <w:tcW w:w="1134" w:type="dxa"/>
            <w:vAlign w:val="center"/>
          </w:tcPr>
          <w:p w14:paraId="09E5DA27" w14:textId="77777777" w:rsidR="00EC62A2" w:rsidRPr="00B955A0" w:rsidRDefault="00EC62A2" w:rsidP="00CF7FFA">
            <w:pPr>
              <w:suppressAutoHyphens/>
              <w:autoSpaceDE w:val="0"/>
              <w:autoSpaceDN w:val="0"/>
              <w:adjustRightInd w:val="0"/>
              <w:spacing w:after="0" w:line="240" w:lineRule="auto"/>
              <w:ind w:right="181"/>
              <w:jc w:val="center"/>
              <w:textAlignment w:val="center"/>
              <w:rPr>
                <w:b/>
                <w:bCs/>
                <w:lang w:val="fr-FR"/>
              </w:rPr>
            </w:pPr>
            <w:r w:rsidRPr="1C83DAF5">
              <w:rPr>
                <w:b/>
                <w:bCs/>
                <w:lang w:val="en"/>
              </w:rPr>
              <w:t>-7.1%</w:t>
            </w:r>
          </w:p>
        </w:tc>
      </w:tr>
    </w:tbl>
    <w:p w14:paraId="4ECE9609" w14:textId="77777777" w:rsidR="00EC62A2" w:rsidRPr="002E22F8" w:rsidRDefault="00EC62A2" w:rsidP="00EC62A2">
      <w:pPr>
        <w:tabs>
          <w:tab w:val="right" w:pos="6700"/>
        </w:tabs>
        <w:suppressAutoHyphens/>
        <w:autoSpaceDE w:val="0"/>
        <w:autoSpaceDN w:val="0"/>
        <w:adjustRightInd w:val="0"/>
        <w:spacing w:before="120" w:after="120" w:line="240" w:lineRule="auto"/>
        <w:ind w:left="420" w:hanging="280"/>
        <w:contextualSpacing/>
        <w:textAlignment w:val="center"/>
        <w:rPr>
          <w:rFonts w:cstheme="minorHAnsi"/>
          <w:i/>
          <w:iCs/>
          <w:color w:val="000000"/>
          <w:sz w:val="14"/>
          <w:szCs w:val="14"/>
          <w:lang w:val="en-GB"/>
        </w:rPr>
      </w:pPr>
      <w:r w:rsidRPr="00A93CEA">
        <w:rPr>
          <w:rFonts w:cstheme="minorHAnsi"/>
          <w:i/>
          <w:iCs/>
          <w:color w:val="000000"/>
          <w:sz w:val="14"/>
          <w:szCs w:val="14"/>
          <w:lang w:val="en"/>
        </w:rPr>
        <w:t>*</w:t>
      </w:r>
      <w:r w:rsidRPr="00A93CEA">
        <w:rPr>
          <w:rFonts w:cstheme="minorHAnsi"/>
          <w:i/>
          <w:iCs/>
          <w:color w:val="000000"/>
          <w:sz w:val="14"/>
          <w:szCs w:val="14"/>
          <w:lang w:val="en"/>
        </w:rPr>
        <w:tab/>
        <w:t xml:space="preserve">Preliminary data </w:t>
      </w:r>
      <w:r w:rsidRPr="00A93CEA">
        <w:rPr>
          <w:rFonts w:cstheme="minorHAnsi"/>
          <w:i/>
          <w:iCs/>
          <w:color w:val="000000"/>
          <w:sz w:val="14"/>
          <w:szCs w:val="14"/>
          <w:lang w:val="en"/>
        </w:rPr>
        <w:tab/>
        <w:t>Source: Federal Public Service Economy, VAT declarations</w:t>
      </w:r>
    </w:p>
    <w:p w14:paraId="665EB7A0" w14:textId="77777777" w:rsidR="00EC62A2" w:rsidRPr="00A93CEA" w:rsidRDefault="00EC62A2" w:rsidP="00EC62A2">
      <w:pPr>
        <w:tabs>
          <w:tab w:val="right" w:pos="9520"/>
        </w:tabs>
        <w:suppressAutoHyphens/>
        <w:autoSpaceDE w:val="0"/>
        <w:autoSpaceDN w:val="0"/>
        <w:adjustRightInd w:val="0"/>
        <w:spacing w:before="120" w:after="120" w:line="240" w:lineRule="auto"/>
        <w:ind w:left="420" w:hanging="280"/>
        <w:contextualSpacing/>
        <w:textAlignment w:val="center"/>
        <w:rPr>
          <w:i/>
          <w:iCs/>
          <w:color w:val="000000"/>
          <w:sz w:val="14"/>
          <w:szCs w:val="14"/>
          <w:lang w:val="nl-NL"/>
        </w:rPr>
      </w:pPr>
      <w:r w:rsidRPr="1C83DAF5">
        <w:rPr>
          <w:i/>
          <w:iCs/>
          <w:color w:val="000000" w:themeColor="text1"/>
          <w:sz w:val="14"/>
          <w:szCs w:val="14"/>
          <w:lang w:val="en"/>
        </w:rPr>
        <w:t>**Furniture industry NACE 31</w:t>
      </w:r>
    </w:p>
    <w:p w14:paraId="5AB76597" w14:textId="77777777" w:rsidR="00EC62A2" w:rsidRDefault="00EC62A2" w:rsidP="00EC62A2">
      <w:pPr>
        <w:rPr>
          <w:rFonts w:cstheme="minorHAnsi"/>
          <w:b/>
          <w:bCs/>
          <w:color w:val="000000"/>
          <w:lang w:val="nl-NL"/>
        </w:rPr>
      </w:pPr>
    </w:p>
    <w:p w14:paraId="48C14458" w14:textId="77777777" w:rsidR="00EC62A2" w:rsidRDefault="00EC62A2" w:rsidP="00EC62A2">
      <w:pPr>
        <w:suppressAutoHyphens/>
        <w:autoSpaceDE w:val="0"/>
        <w:autoSpaceDN w:val="0"/>
        <w:adjustRightInd w:val="0"/>
        <w:spacing w:before="120" w:after="120" w:line="240" w:lineRule="auto"/>
        <w:contextualSpacing/>
        <w:jc w:val="both"/>
        <w:textAlignment w:val="center"/>
        <w:rPr>
          <w:b/>
          <w:bCs/>
          <w:color w:val="000000"/>
          <w:lang w:val="nl-NL"/>
        </w:rPr>
      </w:pPr>
      <w:r>
        <w:rPr>
          <w:noProof/>
        </w:rPr>
        <w:drawing>
          <wp:inline distT="0" distB="0" distL="0" distR="0" wp14:anchorId="1339CE06" wp14:editId="5F18FBA3">
            <wp:extent cx="5257800" cy="2930825"/>
            <wp:effectExtent l="0" t="0" r="0" b="3175"/>
            <wp:docPr id="239830124" name="Grafiek 1">
              <a:extLst xmlns:a="http://schemas.openxmlformats.org/drawingml/2006/main">
                <a:ext uri="{FF2B5EF4-FFF2-40B4-BE49-F238E27FC236}">
                  <a16:creationId xmlns:a16="http://schemas.microsoft.com/office/drawing/2014/main" id="{89D49C13-F510-F4E3-C800-9921C9F5CD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967D2CA" w14:textId="77777777" w:rsidR="00EC62A2" w:rsidRDefault="00EC62A2" w:rsidP="00EC62A2">
      <w:pPr>
        <w:rPr>
          <w:rFonts w:cstheme="minorHAnsi"/>
          <w:b/>
          <w:bCs/>
          <w:color w:val="000000"/>
          <w:lang w:val="nl-NL"/>
        </w:rPr>
      </w:pPr>
      <w:r>
        <w:rPr>
          <w:rFonts w:cstheme="minorHAnsi"/>
          <w:b/>
          <w:bCs/>
          <w:color w:val="000000"/>
          <w:lang w:val="nl-NL"/>
        </w:rPr>
        <w:br w:type="page"/>
      </w:r>
    </w:p>
    <w:p w14:paraId="5F0E5BA9" w14:textId="77777777" w:rsidR="00EC62A2" w:rsidRPr="002E22F8" w:rsidRDefault="00EC62A2" w:rsidP="00EC62A2">
      <w:pPr>
        <w:suppressAutoHyphens/>
        <w:autoSpaceDE w:val="0"/>
        <w:autoSpaceDN w:val="0"/>
        <w:adjustRightInd w:val="0"/>
        <w:spacing w:before="120" w:after="120" w:line="240" w:lineRule="auto"/>
        <w:contextualSpacing/>
        <w:jc w:val="both"/>
        <w:textAlignment w:val="center"/>
        <w:rPr>
          <w:rFonts w:cstheme="minorHAnsi"/>
          <w:b/>
          <w:bCs/>
          <w:color w:val="000000"/>
          <w:lang w:val="en-GB"/>
        </w:rPr>
      </w:pPr>
      <w:r w:rsidRPr="00A93CEA">
        <w:rPr>
          <w:rFonts w:cstheme="minorHAnsi"/>
          <w:b/>
          <w:bCs/>
          <w:color w:val="000000"/>
          <w:lang w:val="en"/>
        </w:rPr>
        <w:lastRenderedPageBreak/>
        <w:t xml:space="preserve">EXPORT AND IMPORT OF FURNITURE DECLINED IN 2023 – STABILISATION OF EXPORT IN THE FIRST HALF OF 2024 </w:t>
      </w:r>
    </w:p>
    <w:p w14:paraId="44DF38C9" w14:textId="77777777" w:rsidR="00EC62A2" w:rsidRPr="002E22F8" w:rsidRDefault="00EC62A2" w:rsidP="00EC62A2">
      <w:pPr>
        <w:suppressAutoHyphens/>
        <w:autoSpaceDE w:val="0"/>
        <w:autoSpaceDN w:val="0"/>
        <w:adjustRightInd w:val="0"/>
        <w:spacing w:before="120" w:after="120" w:line="240" w:lineRule="auto"/>
        <w:contextualSpacing/>
        <w:textAlignment w:val="center"/>
        <w:rPr>
          <w:rFonts w:cstheme="minorHAnsi"/>
          <w:b/>
          <w:bCs/>
          <w:color w:val="000000"/>
          <w:lang w:val="en-GB"/>
        </w:rPr>
      </w:pPr>
    </w:p>
    <w:p w14:paraId="4292616B" w14:textId="77777777" w:rsidR="00EC62A2" w:rsidRPr="002E22F8" w:rsidRDefault="00EC62A2" w:rsidP="00EC62A2">
      <w:pPr>
        <w:autoSpaceDE w:val="0"/>
        <w:autoSpaceDN w:val="0"/>
        <w:adjustRightInd w:val="0"/>
        <w:spacing w:after="0" w:line="240" w:lineRule="auto"/>
        <w:jc w:val="both"/>
        <w:textAlignment w:val="center"/>
        <w:rPr>
          <w:lang w:val="en-GB"/>
        </w:rPr>
      </w:pPr>
      <w:r w:rsidRPr="1C83DAF5">
        <w:rPr>
          <w:lang w:val="en"/>
        </w:rPr>
        <w:t xml:space="preserve">Belgian furniture exports (including transit trade) fell by 10.8% in 2023. 88.9% of furniture exports are directed to the EU market, where deliveries decreased by 11.6%. Sales to France, which holds a 32.4% share as the main export market, and the Netherlands, with a 24.4% share as the second-largest export market, dropped significantly by 23.7% and 11.1%, respectively. However, in the German market, Belgium’s third-largest customer with a 19% share, deliveries increased by 14.9%.  </w:t>
      </w:r>
    </w:p>
    <w:p w14:paraId="04B01D04" w14:textId="77777777" w:rsidR="00EC62A2" w:rsidRPr="002E22F8" w:rsidRDefault="00EC62A2" w:rsidP="00EC62A2">
      <w:pPr>
        <w:autoSpaceDE w:val="0"/>
        <w:autoSpaceDN w:val="0"/>
        <w:adjustRightInd w:val="0"/>
        <w:spacing w:after="0" w:line="240" w:lineRule="auto"/>
        <w:jc w:val="both"/>
        <w:textAlignment w:val="center"/>
        <w:rPr>
          <w:rFonts w:cstheme="minorHAnsi"/>
          <w:lang w:val="en-GB"/>
        </w:rPr>
      </w:pPr>
    </w:p>
    <w:p w14:paraId="7355DF71" w14:textId="77777777" w:rsidR="00EC62A2" w:rsidRPr="002E22F8" w:rsidRDefault="00EC62A2" w:rsidP="00EC62A2">
      <w:pPr>
        <w:autoSpaceDE w:val="0"/>
        <w:autoSpaceDN w:val="0"/>
        <w:adjustRightInd w:val="0"/>
        <w:spacing w:after="0" w:line="240" w:lineRule="auto"/>
        <w:jc w:val="both"/>
        <w:textAlignment w:val="center"/>
        <w:rPr>
          <w:rFonts w:cstheme="minorHAnsi"/>
          <w:lang w:val="en-GB"/>
        </w:rPr>
      </w:pPr>
      <w:r>
        <w:rPr>
          <w:rFonts w:cstheme="minorHAnsi"/>
          <w:lang w:val="en"/>
        </w:rPr>
        <w:t xml:space="preserve">The United Kingdom lost its position as the largest non-EU export market (2.5% share) to the United States (2.9% share) following a 13% rise in exports to the U.S., while exports to the UK fell by 10.6%.  </w:t>
      </w:r>
    </w:p>
    <w:p w14:paraId="4069ECB5" w14:textId="77777777" w:rsidR="00EC62A2" w:rsidRPr="002E22F8" w:rsidRDefault="00EC62A2" w:rsidP="00EC62A2">
      <w:pPr>
        <w:autoSpaceDE w:val="0"/>
        <w:autoSpaceDN w:val="0"/>
        <w:adjustRightInd w:val="0"/>
        <w:spacing w:after="0" w:line="240" w:lineRule="auto"/>
        <w:jc w:val="both"/>
        <w:textAlignment w:val="center"/>
        <w:rPr>
          <w:rFonts w:cstheme="minorHAnsi"/>
          <w:lang w:val="en-GB"/>
        </w:rPr>
      </w:pPr>
    </w:p>
    <w:p w14:paraId="3AAAC2EE" w14:textId="77777777" w:rsidR="00EC62A2" w:rsidRPr="002E22F8" w:rsidRDefault="00EC62A2" w:rsidP="00EC62A2">
      <w:pPr>
        <w:autoSpaceDE w:val="0"/>
        <w:autoSpaceDN w:val="0"/>
        <w:adjustRightInd w:val="0"/>
        <w:spacing w:after="0" w:line="240" w:lineRule="auto"/>
        <w:jc w:val="both"/>
        <w:textAlignment w:val="center"/>
        <w:rPr>
          <w:lang w:val="en-GB"/>
        </w:rPr>
      </w:pPr>
      <w:r w:rsidRPr="1C83DAF5">
        <w:rPr>
          <w:lang w:val="en"/>
        </w:rPr>
        <w:t>In the first half of 2024, furniture exports remained stable (+0.4%). However, deliveries to the European market declined by 1.9%, with exports to France down by 13.0% and to the Netherlands by 11.5%. Germany, with an increase in exports of 46.4%, has now become the second-largest export market for Belgian furniture.</w:t>
      </w:r>
    </w:p>
    <w:p w14:paraId="440502DF" w14:textId="77777777" w:rsidR="00EC62A2" w:rsidRPr="002E22F8" w:rsidRDefault="00EC62A2" w:rsidP="00EC62A2">
      <w:pPr>
        <w:autoSpaceDE w:val="0"/>
        <w:autoSpaceDN w:val="0"/>
        <w:adjustRightInd w:val="0"/>
        <w:spacing w:after="0" w:line="240" w:lineRule="auto"/>
        <w:jc w:val="both"/>
        <w:textAlignment w:val="center"/>
        <w:rPr>
          <w:rFonts w:cstheme="minorHAnsi"/>
          <w:lang w:val="en-GB"/>
        </w:rPr>
      </w:pPr>
    </w:p>
    <w:p w14:paraId="0F4BF9C2" w14:textId="77777777" w:rsidR="00EC62A2" w:rsidRPr="002E22F8" w:rsidRDefault="00EC62A2" w:rsidP="00EC62A2">
      <w:pPr>
        <w:autoSpaceDE w:val="0"/>
        <w:autoSpaceDN w:val="0"/>
        <w:adjustRightInd w:val="0"/>
        <w:spacing w:after="0" w:line="240" w:lineRule="auto"/>
        <w:jc w:val="both"/>
        <w:textAlignment w:val="center"/>
        <w:rPr>
          <w:lang w:val="en-GB"/>
        </w:rPr>
      </w:pPr>
      <w:r w:rsidRPr="1C83DAF5">
        <w:rPr>
          <w:lang w:val="en"/>
        </w:rPr>
        <w:t>Furniture imports in 2023 were 12.7% lower. The decline in imports from China continued (-8.1% in 2022 and -14.9% in 2023). Nevertheless, China remains the most important and dominant supplier of furniture to the Belgian market, with a share of 26.4%. Furniture imports from the Netherlands (15.9% share) and Germany (12.7% share) also decreased by 4.1% and 10.2%, respectively. Poland, the fourth-largest supplier with a 9.2% share, kept its deliveries steady (-0.7%).</w:t>
      </w:r>
    </w:p>
    <w:p w14:paraId="70B94BA9" w14:textId="77777777" w:rsidR="00EC62A2" w:rsidRPr="002E22F8" w:rsidRDefault="00EC62A2" w:rsidP="00EC62A2">
      <w:pPr>
        <w:autoSpaceDE w:val="0"/>
        <w:autoSpaceDN w:val="0"/>
        <w:adjustRightInd w:val="0"/>
        <w:spacing w:after="0" w:line="240" w:lineRule="auto"/>
        <w:jc w:val="both"/>
        <w:textAlignment w:val="center"/>
        <w:rPr>
          <w:rFonts w:cstheme="minorHAnsi"/>
          <w:lang w:val="en-GB"/>
        </w:rPr>
      </w:pPr>
    </w:p>
    <w:p w14:paraId="0F98777A" w14:textId="77777777" w:rsidR="00EC62A2" w:rsidRPr="002E22F8" w:rsidRDefault="00EC62A2" w:rsidP="00EC62A2">
      <w:pPr>
        <w:autoSpaceDE w:val="0"/>
        <w:autoSpaceDN w:val="0"/>
        <w:adjustRightInd w:val="0"/>
        <w:spacing w:after="0" w:line="240" w:lineRule="auto"/>
        <w:jc w:val="both"/>
        <w:textAlignment w:val="center"/>
        <w:rPr>
          <w:lang w:val="en-GB"/>
        </w:rPr>
      </w:pPr>
      <w:r w:rsidRPr="1C83DAF5">
        <w:rPr>
          <w:lang w:val="en"/>
        </w:rPr>
        <w:t xml:space="preserve">In the first half of 2024, furniture imports increased by 1.1%. The downward trend in Chinese imports came to an end, with furniture imports from China rising by 16.2% in the first half of 2024 compared to the same period in 2023.  </w:t>
      </w:r>
    </w:p>
    <w:p w14:paraId="672C3825" w14:textId="77777777" w:rsidR="00EC62A2" w:rsidRPr="002E22F8" w:rsidRDefault="00EC62A2" w:rsidP="00EC62A2">
      <w:pPr>
        <w:suppressAutoHyphens/>
        <w:autoSpaceDE w:val="0"/>
        <w:autoSpaceDN w:val="0"/>
        <w:adjustRightInd w:val="0"/>
        <w:spacing w:before="120" w:after="120" w:line="240" w:lineRule="auto"/>
        <w:contextualSpacing/>
        <w:textAlignment w:val="center"/>
        <w:rPr>
          <w:rFonts w:cstheme="minorHAnsi"/>
          <w:b/>
          <w:bCs/>
          <w:color w:val="000000"/>
          <w:lang w:val="en-GB"/>
        </w:rPr>
      </w:pPr>
    </w:p>
    <w:p w14:paraId="2672BF75" w14:textId="77777777" w:rsidR="00EC62A2" w:rsidRPr="002E22F8" w:rsidRDefault="00EC62A2" w:rsidP="00EC62A2">
      <w:pPr>
        <w:suppressAutoHyphens/>
        <w:autoSpaceDE w:val="0"/>
        <w:autoSpaceDN w:val="0"/>
        <w:adjustRightInd w:val="0"/>
        <w:spacing w:before="120" w:after="120" w:line="240" w:lineRule="auto"/>
        <w:contextualSpacing/>
        <w:textAlignment w:val="center"/>
        <w:rPr>
          <w:rFonts w:cstheme="minorHAnsi"/>
          <w:b/>
          <w:bCs/>
          <w:color w:val="000000"/>
          <w:lang w:val="en-GB"/>
        </w:rPr>
      </w:pPr>
      <w:r>
        <w:rPr>
          <w:rFonts w:cstheme="minorHAnsi"/>
          <w:b/>
          <w:bCs/>
          <w:color w:val="000000"/>
          <w:lang w:val="en"/>
        </w:rPr>
        <w:t>DECLINING INVESTMENTS AMID EXTREMELY LOW CAPACITY UTILISATION</w:t>
      </w:r>
    </w:p>
    <w:p w14:paraId="1B27A115" w14:textId="77777777" w:rsidR="00EC62A2" w:rsidRPr="002E22F8" w:rsidRDefault="00EC62A2" w:rsidP="00EC62A2">
      <w:pPr>
        <w:suppressAutoHyphens/>
        <w:autoSpaceDE w:val="0"/>
        <w:autoSpaceDN w:val="0"/>
        <w:adjustRightInd w:val="0"/>
        <w:spacing w:before="120" w:after="120" w:line="240" w:lineRule="auto"/>
        <w:contextualSpacing/>
        <w:textAlignment w:val="center"/>
        <w:rPr>
          <w:rFonts w:cstheme="minorHAnsi"/>
          <w:b/>
          <w:bCs/>
          <w:color w:val="000000"/>
          <w:lang w:val="en-GB"/>
        </w:rPr>
      </w:pPr>
    </w:p>
    <w:p w14:paraId="5A5B513C" w14:textId="77777777" w:rsidR="00EC62A2" w:rsidRPr="002E22F8" w:rsidRDefault="00EC62A2" w:rsidP="00EC62A2">
      <w:pPr>
        <w:tabs>
          <w:tab w:val="left" w:pos="3884"/>
        </w:tabs>
        <w:autoSpaceDE w:val="0"/>
        <w:autoSpaceDN w:val="0"/>
        <w:adjustRightInd w:val="0"/>
        <w:spacing w:before="120" w:after="120" w:line="240" w:lineRule="auto"/>
        <w:ind w:right="28"/>
        <w:contextualSpacing/>
        <w:jc w:val="both"/>
        <w:textAlignment w:val="center"/>
        <w:rPr>
          <w:color w:val="000000"/>
          <w:lang w:val="en-GB"/>
        </w:rPr>
      </w:pPr>
      <w:r w:rsidRPr="1C83DAF5">
        <w:rPr>
          <w:color w:val="000000" w:themeColor="text1"/>
          <w:lang w:val="en"/>
        </w:rPr>
        <w:t xml:space="preserve">The production capacity </w:t>
      </w:r>
      <w:proofErr w:type="spellStart"/>
      <w:r w:rsidRPr="1C83DAF5">
        <w:rPr>
          <w:color w:val="000000" w:themeColor="text1"/>
          <w:lang w:val="en"/>
        </w:rPr>
        <w:t>utilisation</w:t>
      </w:r>
      <w:proofErr w:type="spellEnd"/>
      <w:r w:rsidRPr="1C83DAF5">
        <w:rPr>
          <w:color w:val="000000" w:themeColor="text1"/>
          <w:lang w:val="en"/>
        </w:rPr>
        <w:t xml:space="preserve"> rate fell to an average of 73.5% in 2023, the lowest level in 10 years (82.3% in 2022). In the </w:t>
      </w:r>
      <w:r w:rsidRPr="00F3785D">
        <w:rPr>
          <w:lang w:val="en"/>
        </w:rPr>
        <w:t>first</w:t>
      </w:r>
      <w:r w:rsidRPr="1C83DAF5">
        <w:rPr>
          <w:color w:val="000000" w:themeColor="text1"/>
          <w:lang w:val="en"/>
        </w:rPr>
        <w:t xml:space="preserve"> half of 2024, the </w:t>
      </w:r>
      <w:proofErr w:type="spellStart"/>
      <w:r w:rsidRPr="1C83DAF5">
        <w:rPr>
          <w:color w:val="000000" w:themeColor="text1"/>
          <w:lang w:val="en"/>
        </w:rPr>
        <w:t>utilisation</w:t>
      </w:r>
      <w:proofErr w:type="spellEnd"/>
      <w:r w:rsidRPr="1C83DAF5">
        <w:rPr>
          <w:color w:val="000000" w:themeColor="text1"/>
          <w:lang w:val="en"/>
        </w:rPr>
        <w:t xml:space="preserve"> rate was 70.6%, compared to 74.2% in the first half of 2023. Investments increased by 8% in 2023 compared to 2022, marking the third consecutive year of growth. However, in the first half of 2024, investments dropped by 15.8% compared to the same period in 2023.  </w:t>
      </w:r>
    </w:p>
    <w:p w14:paraId="7C4843E2" w14:textId="77777777" w:rsidR="00EC62A2" w:rsidRPr="00A93CEA" w:rsidRDefault="00EC62A2" w:rsidP="00EC62A2">
      <w:pPr>
        <w:tabs>
          <w:tab w:val="left" w:pos="3884"/>
        </w:tabs>
        <w:autoSpaceDE w:val="0"/>
        <w:autoSpaceDN w:val="0"/>
        <w:adjustRightInd w:val="0"/>
        <w:spacing w:before="120" w:after="120" w:line="240" w:lineRule="auto"/>
        <w:ind w:right="28"/>
        <w:contextualSpacing/>
        <w:textAlignment w:val="center"/>
        <w:rPr>
          <w:rFonts w:cstheme="minorHAnsi"/>
          <w:color w:val="000000"/>
          <w:lang w:val="nl-NL"/>
        </w:rPr>
      </w:pPr>
      <w:r w:rsidRPr="00A81DD0">
        <w:rPr>
          <w:rFonts w:cstheme="minorHAnsi"/>
          <w:noProof/>
          <w:sz w:val="10"/>
        </w:rPr>
        <w:drawing>
          <wp:inline distT="0" distB="0" distL="0" distR="0" wp14:anchorId="6E253098" wp14:editId="23C623CB">
            <wp:extent cx="5759532" cy="2547257"/>
            <wp:effectExtent l="0" t="0" r="0" b="0"/>
            <wp:docPr id="14" name="Grafie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B1BA4F2" w14:textId="5C7A73CE" w:rsidR="00EC62A2" w:rsidRPr="002E22F8" w:rsidRDefault="00EC62A2" w:rsidP="00EC62A2">
      <w:pPr>
        <w:rPr>
          <w:rFonts w:cstheme="minorHAnsi"/>
          <w:b/>
          <w:bCs/>
          <w:color w:val="000000"/>
          <w:lang w:val="en-GB"/>
        </w:rPr>
      </w:pPr>
      <w:r>
        <w:rPr>
          <w:rFonts w:cstheme="minorHAnsi"/>
          <w:b/>
          <w:bCs/>
          <w:color w:val="000000"/>
          <w:lang w:val="nl-NL"/>
        </w:rPr>
        <w:br w:type="page"/>
      </w:r>
      <w:r w:rsidRPr="00A93CEA">
        <w:rPr>
          <w:rFonts w:cstheme="minorHAnsi"/>
          <w:b/>
          <w:bCs/>
          <w:color w:val="000000"/>
          <w:lang w:val="en"/>
        </w:rPr>
        <w:lastRenderedPageBreak/>
        <w:t>EMPLOYMENT DECLINED</w:t>
      </w:r>
    </w:p>
    <w:p w14:paraId="4E93C8D5" w14:textId="77777777" w:rsidR="00EC62A2" w:rsidRPr="002E22F8" w:rsidRDefault="00EC62A2" w:rsidP="00EC62A2">
      <w:pPr>
        <w:suppressAutoHyphens/>
        <w:autoSpaceDE w:val="0"/>
        <w:autoSpaceDN w:val="0"/>
        <w:adjustRightInd w:val="0"/>
        <w:spacing w:before="120" w:after="120" w:line="240" w:lineRule="auto"/>
        <w:contextualSpacing/>
        <w:textAlignment w:val="center"/>
        <w:rPr>
          <w:rFonts w:cstheme="minorHAnsi"/>
          <w:b/>
          <w:bCs/>
          <w:color w:val="000000"/>
          <w:lang w:val="en-GB"/>
        </w:rPr>
      </w:pPr>
    </w:p>
    <w:p w14:paraId="168C62F5" w14:textId="77777777" w:rsidR="00EC62A2" w:rsidRPr="002E22F8" w:rsidRDefault="00EC62A2" w:rsidP="00EC62A2">
      <w:pPr>
        <w:autoSpaceDE w:val="0"/>
        <w:autoSpaceDN w:val="0"/>
        <w:adjustRightInd w:val="0"/>
        <w:spacing w:before="120" w:after="120" w:line="240" w:lineRule="auto"/>
        <w:contextualSpacing/>
        <w:jc w:val="both"/>
        <w:textAlignment w:val="center"/>
        <w:rPr>
          <w:lang w:val="en-GB"/>
        </w:rPr>
      </w:pPr>
      <w:r w:rsidRPr="1C83DAF5">
        <w:rPr>
          <w:color w:val="000000" w:themeColor="text1"/>
          <w:lang w:val="en"/>
        </w:rPr>
        <w:t xml:space="preserve">In 2023, 9,559 employees were active in the furniture industry. This represents a decrease </w:t>
      </w:r>
      <w:r>
        <w:rPr>
          <w:lang w:val="en"/>
        </w:rPr>
        <w:t xml:space="preserve">of 204 employees or 2.1% compared to 2022, mainly due to bankruptcies. In the first quarter of 2024, employment further declined to 8,933 workers, an 8.9% drop compared to the same period in 2023.   </w:t>
      </w:r>
    </w:p>
    <w:p w14:paraId="22BD00BC" w14:textId="77777777" w:rsidR="00EC62A2" w:rsidRPr="002E22F8" w:rsidRDefault="00EC62A2" w:rsidP="00EC62A2">
      <w:pPr>
        <w:autoSpaceDE w:val="0"/>
        <w:autoSpaceDN w:val="0"/>
        <w:adjustRightInd w:val="0"/>
        <w:spacing w:before="120" w:after="120" w:line="240" w:lineRule="auto"/>
        <w:contextualSpacing/>
        <w:jc w:val="both"/>
        <w:textAlignment w:val="center"/>
        <w:rPr>
          <w:rFonts w:cstheme="minorHAnsi"/>
          <w:color w:val="000000"/>
          <w:lang w:val="en-GB"/>
        </w:rPr>
      </w:pPr>
    </w:p>
    <w:p w14:paraId="47D1FAD2" w14:textId="77777777" w:rsidR="00EC62A2" w:rsidRDefault="00EC62A2" w:rsidP="00EC62A2">
      <w:pPr>
        <w:autoSpaceDE w:val="0"/>
        <w:autoSpaceDN w:val="0"/>
        <w:adjustRightInd w:val="0"/>
        <w:spacing w:before="120" w:after="120" w:line="240" w:lineRule="auto"/>
        <w:contextualSpacing/>
        <w:jc w:val="both"/>
        <w:textAlignment w:val="center"/>
        <w:rPr>
          <w:rFonts w:cstheme="minorHAnsi"/>
          <w:b/>
          <w:bCs/>
          <w:color w:val="000000"/>
          <w:lang w:val="nl-NL"/>
        </w:rPr>
      </w:pPr>
      <w:r>
        <w:rPr>
          <w:rFonts w:cstheme="minorHAnsi"/>
          <w:b/>
          <w:bCs/>
          <w:color w:val="000000"/>
          <w:lang w:val="en"/>
        </w:rPr>
        <w:t>DEVELOPMENTS IN THE FURNITURE TRADE</w:t>
      </w:r>
    </w:p>
    <w:p w14:paraId="5D9031EA" w14:textId="77777777" w:rsidR="00EC62A2" w:rsidRDefault="00EC62A2" w:rsidP="00EC62A2">
      <w:pPr>
        <w:autoSpaceDE w:val="0"/>
        <w:autoSpaceDN w:val="0"/>
        <w:adjustRightInd w:val="0"/>
        <w:spacing w:before="120" w:after="120" w:line="240" w:lineRule="auto"/>
        <w:contextualSpacing/>
        <w:jc w:val="both"/>
        <w:textAlignment w:val="center"/>
        <w:rPr>
          <w:rFonts w:cstheme="minorHAnsi"/>
          <w:b/>
          <w:bCs/>
          <w:color w:val="000000"/>
          <w:lang w:val="nl-NL"/>
        </w:rPr>
      </w:pPr>
    </w:p>
    <w:p w14:paraId="7FD7BFDC" w14:textId="77777777" w:rsidR="00EC62A2" w:rsidRDefault="00EC62A2" w:rsidP="00EC62A2">
      <w:pPr>
        <w:autoSpaceDE w:val="0"/>
        <w:autoSpaceDN w:val="0"/>
        <w:adjustRightInd w:val="0"/>
        <w:spacing w:before="120" w:after="120" w:line="240" w:lineRule="auto"/>
        <w:contextualSpacing/>
        <w:jc w:val="both"/>
        <w:textAlignment w:val="center"/>
        <w:rPr>
          <w:b/>
          <w:bCs/>
          <w:color w:val="000000"/>
          <w:lang w:val="nl-NL"/>
        </w:rPr>
      </w:pPr>
      <w:r>
        <w:rPr>
          <w:noProof/>
        </w:rPr>
        <w:drawing>
          <wp:inline distT="0" distB="0" distL="0" distR="0" wp14:anchorId="0357DDDE" wp14:editId="5CE74D30">
            <wp:extent cx="5760720" cy="2713990"/>
            <wp:effectExtent l="0" t="0" r="11430" b="10160"/>
            <wp:docPr id="720551547" name="Grafiek 1">
              <a:extLst xmlns:a="http://schemas.openxmlformats.org/drawingml/2006/main">
                <a:ext uri="{FF2B5EF4-FFF2-40B4-BE49-F238E27FC236}">
                  <a16:creationId xmlns:a16="http://schemas.microsoft.com/office/drawing/2014/main" id="{E1F1318F-75CD-2F73-53AC-5463457948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2E863AB" w14:textId="77777777" w:rsidR="00EC62A2" w:rsidRPr="002E22F8" w:rsidRDefault="00EC62A2" w:rsidP="00EC62A2">
      <w:pPr>
        <w:autoSpaceDE w:val="0"/>
        <w:autoSpaceDN w:val="0"/>
        <w:adjustRightInd w:val="0"/>
        <w:spacing w:before="120" w:after="120" w:line="240" w:lineRule="auto"/>
        <w:contextualSpacing/>
        <w:jc w:val="both"/>
        <w:textAlignment w:val="center"/>
        <w:rPr>
          <w:rFonts w:cstheme="minorHAnsi"/>
          <w:color w:val="000000"/>
          <w:lang w:val="en-GB"/>
        </w:rPr>
      </w:pPr>
      <w:r w:rsidRPr="00CC46B2">
        <w:rPr>
          <w:rFonts w:cstheme="minorHAnsi"/>
          <w:color w:val="000000"/>
          <w:lang w:val="en"/>
        </w:rPr>
        <w:t>Source: National Bank of Belgium (NBB)</w:t>
      </w:r>
    </w:p>
    <w:p w14:paraId="78445DA0" w14:textId="77777777" w:rsidR="00EC62A2" w:rsidRPr="002E22F8" w:rsidRDefault="00EC62A2" w:rsidP="00EC62A2">
      <w:pPr>
        <w:autoSpaceDE w:val="0"/>
        <w:autoSpaceDN w:val="0"/>
        <w:adjustRightInd w:val="0"/>
        <w:spacing w:before="120" w:after="120" w:line="240" w:lineRule="auto"/>
        <w:contextualSpacing/>
        <w:jc w:val="both"/>
        <w:textAlignment w:val="center"/>
        <w:rPr>
          <w:rFonts w:cstheme="minorHAnsi"/>
          <w:b/>
          <w:bCs/>
          <w:color w:val="000000"/>
          <w:lang w:val="en-GB"/>
        </w:rPr>
      </w:pPr>
    </w:p>
    <w:p w14:paraId="71C8C067" w14:textId="77777777" w:rsidR="00EC62A2" w:rsidRPr="002E22F8" w:rsidRDefault="00EC62A2" w:rsidP="00EC62A2">
      <w:pPr>
        <w:autoSpaceDE w:val="0"/>
        <w:autoSpaceDN w:val="0"/>
        <w:adjustRightInd w:val="0"/>
        <w:spacing w:before="120" w:after="120" w:line="240" w:lineRule="auto"/>
        <w:contextualSpacing/>
        <w:jc w:val="both"/>
        <w:textAlignment w:val="center"/>
        <w:rPr>
          <w:color w:val="000000"/>
          <w:lang w:val="en-GB"/>
        </w:rPr>
      </w:pPr>
      <w:r w:rsidRPr="1C83DAF5">
        <w:rPr>
          <w:color w:val="000000" w:themeColor="text1"/>
          <w:lang w:val="en"/>
        </w:rPr>
        <w:t>Order levels in the furniture trade remain weak in 2024. During the first four months, order levels were noticeably lower than in 2023. Orders also decreased during July and August.  Cumulatively, for the first eight months of 2024, orders were 2.8% lower than in 2023.</w:t>
      </w:r>
    </w:p>
    <w:p w14:paraId="3D8A243B" w14:textId="77777777" w:rsidR="00EC62A2" w:rsidRPr="002E22F8" w:rsidRDefault="00EC62A2" w:rsidP="00EC62A2">
      <w:pPr>
        <w:autoSpaceDE w:val="0"/>
        <w:autoSpaceDN w:val="0"/>
        <w:adjustRightInd w:val="0"/>
        <w:spacing w:before="120" w:after="120" w:line="240" w:lineRule="auto"/>
        <w:contextualSpacing/>
        <w:jc w:val="both"/>
        <w:textAlignment w:val="center"/>
        <w:rPr>
          <w:rFonts w:cstheme="minorHAnsi"/>
          <w:color w:val="000000"/>
          <w:lang w:val="en-GB"/>
        </w:rPr>
      </w:pPr>
    </w:p>
    <w:p w14:paraId="31F1D785" w14:textId="77777777" w:rsidR="00EC62A2" w:rsidRDefault="00EC62A2">
      <w:pPr>
        <w:rPr>
          <w:b/>
          <w:bCs/>
          <w:color w:val="000000" w:themeColor="text1"/>
          <w:lang w:val="en"/>
        </w:rPr>
      </w:pPr>
      <w:r>
        <w:rPr>
          <w:b/>
          <w:bCs/>
          <w:color w:val="000000" w:themeColor="text1"/>
          <w:lang w:val="en"/>
        </w:rPr>
        <w:br w:type="page"/>
      </w:r>
    </w:p>
    <w:p w14:paraId="779CCC2A" w14:textId="5BC865AF" w:rsidR="00EC62A2" w:rsidRPr="002E22F8" w:rsidRDefault="00EC62A2" w:rsidP="00EC62A2">
      <w:pPr>
        <w:autoSpaceDE w:val="0"/>
        <w:autoSpaceDN w:val="0"/>
        <w:adjustRightInd w:val="0"/>
        <w:spacing w:before="120" w:after="120" w:line="240" w:lineRule="auto"/>
        <w:contextualSpacing/>
        <w:textAlignment w:val="center"/>
        <w:rPr>
          <w:b/>
          <w:bCs/>
          <w:color w:val="000000"/>
          <w:lang w:val="en-GB"/>
        </w:rPr>
      </w:pPr>
      <w:r w:rsidRPr="1C83DAF5">
        <w:rPr>
          <w:b/>
          <w:bCs/>
          <w:color w:val="000000" w:themeColor="text1"/>
          <w:lang w:val="en"/>
        </w:rPr>
        <w:lastRenderedPageBreak/>
        <w:t>OUTLOOK FOR THE 2</w:t>
      </w:r>
      <w:r w:rsidRPr="1C83DAF5">
        <w:rPr>
          <w:b/>
          <w:bCs/>
          <w:color w:val="000000" w:themeColor="text1"/>
          <w:vertAlign w:val="superscript"/>
          <w:lang w:val="en"/>
        </w:rPr>
        <w:t>nd</w:t>
      </w:r>
      <w:r w:rsidRPr="1C83DAF5">
        <w:rPr>
          <w:b/>
          <w:bCs/>
          <w:color w:val="000000" w:themeColor="text1"/>
          <w:lang w:val="en"/>
        </w:rPr>
        <w:t xml:space="preserve"> HALF OF 2024: AT BEST STABILISATION AT A LOW LEVEL </w:t>
      </w:r>
    </w:p>
    <w:p w14:paraId="55515434" w14:textId="77777777" w:rsidR="00EC62A2" w:rsidRPr="002E22F8" w:rsidRDefault="00EC62A2" w:rsidP="00EC62A2">
      <w:pPr>
        <w:autoSpaceDE w:val="0"/>
        <w:autoSpaceDN w:val="0"/>
        <w:adjustRightInd w:val="0"/>
        <w:spacing w:before="120" w:after="120" w:line="240" w:lineRule="auto"/>
        <w:contextualSpacing/>
        <w:textAlignment w:val="center"/>
        <w:rPr>
          <w:rFonts w:cstheme="minorHAnsi"/>
          <w:b/>
          <w:bCs/>
          <w:color w:val="000000"/>
          <w:sz w:val="20"/>
          <w:szCs w:val="20"/>
          <w:lang w:val="en-GB"/>
        </w:rPr>
      </w:pPr>
    </w:p>
    <w:p w14:paraId="3680585D" w14:textId="60B98CA3" w:rsidR="00EC62A2" w:rsidRDefault="00EC62A2" w:rsidP="00EC62A2">
      <w:pPr>
        <w:tabs>
          <w:tab w:val="left" w:pos="3884"/>
        </w:tabs>
        <w:autoSpaceDE w:val="0"/>
        <w:autoSpaceDN w:val="0"/>
        <w:adjustRightInd w:val="0"/>
        <w:spacing w:before="120" w:after="120" w:line="240" w:lineRule="auto"/>
        <w:ind w:right="28"/>
        <w:contextualSpacing/>
        <w:jc w:val="both"/>
        <w:textAlignment w:val="center"/>
        <w:rPr>
          <w:lang w:val="en"/>
        </w:rPr>
      </w:pPr>
      <w:r>
        <w:rPr>
          <w:lang w:val="en"/>
        </w:rPr>
        <w:t xml:space="preserve">After reaching a historic low in mid-2022 due to the energy crisis, both Belgian and European consumer confidence rebounded in 2023. During the first nine months of 2024, Belgian and European consumer confidence was generally higher than in 2023.  </w:t>
      </w:r>
    </w:p>
    <w:p w14:paraId="74CAC093" w14:textId="77777777" w:rsidR="00EC62A2" w:rsidRDefault="00EC62A2" w:rsidP="00EC62A2">
      <w:pPr>
        <w:tabs>
          <w:tab w:val="left" w:pos="3884"/>
        </w:tabs>
        <w:autoSpaceDE w:val="0"/>
        <w:autoSpaceDN w:val="0"/>
        <w:adjustRightInd w:val="0"/>
        <w:spacing w:before="120" w:after="120" w:line="240" w:lineRule="auto"/>
        <w:ind w:right="28"/>
        <w:contextualSpacing/>
        <w:jc w:val="both"/>
        <w:textAlignment w:val="center"/>
      </w:pPr>
      <w:r w:rsidRPr="00143B5F">
        <w:rPr>
          <w:noProof/>
        </w:rPr>
        <w:drawing>
          <wp:inline distT="0" distB="0" distL="0" distR="0" wp14:anchorId="3089057A" wp14:editId="4BB0E184">
            <wp:extent cx="5694045" cy="3664223"/>
            <wp:effectExtent l="0" t="0" r="1905" b="0"/>
            <wp:docPr id="4" name="Afbeelding 3" descr="Afbeelding met tekst, schermopname, Perceel&#10;&#10;Automatisch gegenereerde beschrijving">
              <a:extLst xmlns:a="http://schemas.openxmlformats.org/drawingml/2006/main">
                <a:ext uri="{FF2B5EF4-FFF2-40B4-BE49-F238E27FC236}">
                  <a16:creationId xmlns:a16="http://schemas.microsoft.com/office/drawing/2014/main" id="{BD3ABC0C-8478-A154-D0ED-1AF83F2238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641099" name="Afbeelding 3" descr="Afbeelding met tekst, schermopname, Perceel&#10;&#10;Automatisch gegenereerde beschrijving">
                      <a:extLst>
                        <a:ext uri="{FF2B5EF4-FFF2-40B4-BE49-F238E27FC236}">
                          <a16:creationId xmlns:a16="http://schemas.microsoft.com/office/drawing/2014/main" id="{BD3ABC0C-8478-A154-D0ED-1AF83F2238F5}"/>
                        </a:ext>
                      </a:extLst>
                    </pic:cNvPr>
                    <pic:cNvPicPr>
                      <a:picLocks noChangeAspect="1"/>
                    </pic:cNvPicPr>
                  </pic:nvPicPr>
                  <pic:blipFill>
                    <a:blip r:embed="rId9"/>
                    <a:stretch>
                      <a:fillRect/>
                    </a:stretch>
                  </pic:blipFill>
                  <pic:spPr>
                    <a:xfrm>
                      <a:off x="0" y="0"/>
                      <a:ext cx="5694045" cy="3664223"/>
                    </a:xfrm>
                    <a:prstGeom prst="rect">
                      <a:avLst/>
                    </a:prstGeom>
                  </pic:spPr>
                </pic:pic>
              </a:graphicData>
            </a:graphic>
          </wp:inline>
        </w:drawing>
      </w:r>
    </w:p>
    <w:p w14:paraId="214AAA9C" w14:textId="77777777" w:rsidR="00EC62A2" w:rsidRPr="002E22F8" w:rsidRDefault="00EC62A2" w:rsidP="00EC62A2">
      <w:pPr>
        <w:spacing w:line="257" w:lineRule="auto"/>
        <w:jc w:val="both"/>
        <w:rPr>
          <w:rFonts w:cstheme="minorHAnsi"/>
          <w:color w:val="000000"/>
          <w:lang w:val="en-GB"/>
        </w:rPr>
      </w:pPr>
      <w:r w:rsidRPr="00521BCA">
        <w:rPr>
          <w:rFonts w:cstheme="minorHAnsi"/>
          <w:color w:val="000000"/>
          <w:lang w:val="en"/>
        </w:rPr>
        <w:t xml:space="preserve">The economic trend curve for the furniture industry, which reflects business confidence and typically leads actual economic activity by about three months, remained stuck at an extremely low level at the beginning of 2024.  However, in August and September, business confidence showed a marked improvement.  </w:t>
      </w:r>
    </w:p>
    <w:p w14:paraId="487FE908" w14:textId="77777777" w:rsidR="00EC62A2" w:rsidRPr="002E22F8" w:rsidRDefault="00EC62A2" w:rsidP="00EC62A2">
      <w:pPr>
        <w:autoSpaceDE w:val="0"/>
        <w:autoSpaceDN w:val="0"/>
        <w:adjustRightInd w:val="0"/>
        <w:spacing w:before="120" w:after="120" w:line="240" w:lineRule="auto"/>
        <w:contextualSpacing/>
        <w:jc w:val="center"/>
        <w:textAlignment w:val="center"/>
        <w:rPr>
          <w:rFonts w:cstheme="minorHAnsi"/>
          <w:b/>
          <w:bCs/>
          <w:color w:val="000000"/>
          <w:lang w:val="en-GB"/>
        </w:rPr>
      </w:pPr>
      <w:r w:rsidRPr="006B0732">
        <w:rPr>
          <w:rFonts w:cstheme="minorHAnsi"/>
          <w:b/>
          <w:bCs/>
          <w:color w:val="000000"/>
          <w:sz w:val="24"/>
          <w:szCs w:val="24"/>
          <w:lang w:val="en"/>
        </w:rPr>
        <w:t>Synthetic economic trend curve for the furniture industry</w:t>
      </w:r>
      <w:r>
        <w:rPr>
          <w:noProof/>
        </w:rPr>
        <w:drawing>
          <wp:inline distT="0" distB="0" distL="0" distR="0" wp14:anchorId="11F0F1E0" wp14:editId="637BCC3B">
            <wp:extent cx="2675733" cy="1699679"/>
            <wp:effectExtent l="0" t="0" r="0" b="0"/>
            <wp:docPr id="2083350543" name="Afbeelding 1" descr="Afbeelding met lijn, Perceel, diagram,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130901" name="Afbeelding 1" descr="Afbeelding met lijn, Perceel, diagram, nummer&#10;&#10;Automatisch gegenereerde beschrijving"/>
                    <pic:cNvPicPr/>
                  </pic:nvPicPr>
                  <pic:blipFill>
                    <a:blip r:embed="rId10"/>
                    <a:stretch>
                      <a:fillRect/>
                    </a:stretch>
                  </pic:blipFill>
                  <pic:spPr>
                    <a:xfrm>
                      <a:off x="0" y="0"/>
                      <a:ext cx="2681175" cy="1703136"/>
                    </a:xfrm>
                    <a:prstGeom prst="rect">
                      <a:avLst/>
                    </a:prstGeom>
                  </pic:spPr>
                </pic:pic>
              </a:graphicData>
            </a:graphic>
          </wp:inline>
        </w:drawing>
      </w:r>
      <w:r w:rsidRPr="002C5C92">
        <w:rPr>
          <w:noProof/>
        </w:rPr>
        <w:drawing>
          <wp:inline distT="0" distB="0" distL="0" distR="0" wp14:anchorId="1F56D392" wp14:editId="60FF3D3D">
            <wp:extent cx="3452091" cy="1905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88290" cy="192498"/>
                    </a:xfrm>
                    <a:prstGeom prst="rect">
                      <a:avLst/>
                    </a:prstGeom>
                  </pic:spPr>
                </pic:pic>
              </a:graphicData>
            </a:graphic>
          </wp:inline>
        </w:drawing>
      </w:r>
    </w:p>
    <w:p w14:paraId="6E1BA0E2" w14:textId="77777777" w:rsidR="00EC62A2" w:rsidRPr="002E22F8" w:rsidRDefault="00EC62A2" w:rsidP="00EC62A2">
      <w:pPr>
        <w:autoSpaceDE w:val="0"/>
        <w:autoSpaceDN w:val="0"/>
        <w:adjustRightInd w:val="0"/>
        <w:spacing w:before="120" w:after="120" w:line="240" w:lineRule="auto"/>
        <w:contextualSpacing/>
        <w:jc w:val="center"/>
        <w:textAlignment w:val="center"/>
        <w:rPr>
          <w:b/>
          <w:bCs/>
          <w:color w:val="000000"/>
          <w:lang w:val="en-GB"/>
        </w:rPr>
      </w:pPr>
      <w:r w:rsidRPr="1C83DAF5">
        <w:rPr>
          <w:b/>
          <w:bCs/>
          <w:color w:val="000000" w:themeColor="text1"/>
          <w:lang w:val="en"/>
        </w:rPr>
        <w:t>Source: National Bank of Belgium (NBB)</w:t>
      </w:r>
    </w:p>
    <w:p w14:paraId="34F7FB28" w14:textId="77777777" w:rsidR="00EC62A2" w:rsidRPr="002E22F8" w:rsidRDefault="00EC62A2" w:rsidP="00EC62A2">
      <w:pPr>
        <w:autoSpaceDE w:val="0"/>
        <w:autoSpaceDN w:val="0"/>
        <w:adjustRightInd w:val="0"/>
        <w:spacing w:before="120" w:after="120" w:line="240" w:lineRule="auto"/>
        <w:contextualSpacing/>
        <w:textAlignment w:val="center"/>
        <w:rPr>
          <w:rFonts w:cstheme="minorHAnsi"/>
          <w:b/>
          <w:bCs/>
          <w:color w:val="000000"/>
          <w:lang w:val="en-GB"/>
        </w:rPr>
      </w:pPr>
    </w:p>
    <w:p w14:paraId="286B0D84" w14:textId="77777777" w:rsidR="00EC62A2" w:rsidRPr="002E22F8" w:rsidRDefault="00EC62A2" w:rsidP="00EC62A2">
      <w:pPr>
        <w:spacing w:line="257" w:lineRule="auto"/>
        <w:jc w:val="both"/>
        <w:rPr>
          <w:color w:val="000000"/>
          <w:lang w:val="en-GB"/>
        </w:rPr>
      </w:pPr>
      <w:r w:rsidRPr="1C83DAF5">
        <w:rPr>
          <w:rFonts w:ascii="Calibri" w:eastAsia="Calibri" w:hAnsi="Calibri" w:cs="Calibri"/>
          <w:lang w:val="en"/>
        </w:rPr>
        <w:t xml:space="preserve">The higher mortgage rates and rising prices have made construction significantly more expensive. It is expected that construction activity will not recover in 2024 and will continue to decline slightly, which will also affect the furniture industry.  </w:t>
      </w:r>
    </w:p>
    <w:p w14:paraId="43BD6480" w14:textId="7FE38037" w:rsidR="00EC62A2" w:rsidRPr="002E22F8" w:rsidRDefault="00EC62A2" w:rsidP="00EC62A2">
      <w:pPr>
        <w:spacing w:line="257" w:lineRule="auto"/>
        <w:jc w:val="both"/>
        <w:rPr>
          <w:rFonts w:cstheme="minorHAnsi"/>
          <w:color w:val="000000"/>
          <w:lang w:val="en-GB"/>
        </w:rPr>
      </w:pPr>
      <w:r w:rsidRPr="1C83DAF5">
        <w:rPr>
          <w:color w:val="000000" w:themeColor="text1"/>
          <w:lang w:val="en"/>
        </w:rPr>
        <w:lastRenderedPageBreak/>
        <w:t xml:space="preserve">The anticipated European recovery in the second half of this year could positively impact furniture exports. However, weakened competitiveness makes Belgian companies less competitive in export markets. </w:t>
      </w:r>
    </w:p>
    <w:p w14:paraId="53C54915" w14:textId="77777777" w:rsidR="00EC62A2" w:rsidRPr="002E22F8" w:rsidRDefault="00EC62A2" w:rsidP="00EC62A2">
      <w:pPr>
        <w:rPr>
          <w:rFonts w:cstheme="minorHAnsi"/>
          <w:b/>
          <w:bCs/>
          <w:color w:val="000000"/>
          <w:lang w:val="en-GB"/>
        </w:rPr>
      </w:pPr>
      <w:r w:rsidRPr="006219BD">
        <w:rPr>
          <w:rFonts w:cstheme="minorHAnsi"/>
          <w:b/>
          <w:bCs/>
          <w:color w:val="000000"/>
          <w:lang w:val="en"/>
        </w:rPr>
        <w:t>IMPORT AND EXPORT FIGURES FOR THE FIRST HALF OF 2024</w:t>
      </w:r>
    </w:p>
    <w:tbl>
      <w:tblPr>
        <w:tblW w:w="9105" w:type="dxa"/>
        <w:tblLayout w:type="fixed"/>
        <w:tblCellMar>
          <w:left w:w="70" w:type="dxa"/>
          <w:right w:w="70" w:type="dxa"/>
        </w:tblCellMar>
        <w:tblLook w:val="04A0" w:firstRow="1" w:lastRow="0" w:firstColumn="1" w:lastColumn="0" w:noHBand="0" w:noVBand="1"/>
      </w:tblPr>
      <w:tblGrid>
        <w:gridCol w:w="1838"/>
        <w:gridCol w:w="805"/>
        <w:gridCol w:w="896"/>
        <w:gridCol w:w="992"/>
        <w:gridCol w:w="735"/>
        <w:gridCol w:w="638"/>
        <w:gridCol w:w="805"/>
        <w:gridCol w:w="806"/>
        <w:gridCol w:w="806"/>
        <w:gridCol w:w="784"/>
      </w:tblGrid>
      <w:tr w:rsidR="00EC62A2" w14:paraId="065B2A99" w14:textId="77777777" w:rsidTr="00CF7FFA">
        <w:tc>
          <w:tcPr>
            <w:tcW w:w="1838" w:type="dxa"/>
            <w:tcBorders>
              <w:top w:val="single" w:sz="4" w:space="0" w:color="auto"/>
              <w:left w:val="single" w:sz="4" w:space="0" w:color="auto"/>
              <w:bottom w:val="nil"/>
              <w:right w:val="nil"/>
            </w:tcBorders>
            <w:shd w:val="clear" w:color="auto" w:fill="BFBFBF" w:themeFill="background1" w:themeFillShade="BF"/>
            <w:noWrap/>
            <w:vAlign w:val="bottom"/>
            <w:hideMark/>
          </w:tcPr>
          <w:p w14:paraId="52918883" w14:textId="77777777" w:rsidR="00EC62A2" w:rsidRPr="002E22F8" w:rsidRDefault="00EC62A2" w:rsidP="00CF7FFA">
            <w:pPr>
              <w:spacing w:after="0" w:line="240" w:lineRule="auto"/>
              <w:rPr>
                <w:rFonts w:eastAsia="Times New Roman" w:cstheme="minorHAnsi"/>
                <w:b/>
                <w:bCs/>
                <w:color w:val="000000"/>
                <w:sz w:val="14"/>
                <w:szCs w:val="14"/>
                <w:lang w:val="en-GB" w:eastAsia="nl-BE"/>
              </w:rPr>
            </w:pPr>
            <w:r w:rsidRPr="002E22F8">
              <w:rPr>
                <w:rFonts w:eastAsia="Times New Roman" w:cstheme="minorHAnsi"/>
                <w:b/>
                <w:bCs/>
                <w:color w:val="000000"/>
                <w:sz w:val="14"/>
                <w:szCs w:val="14"/>
                <w:lang w:val="en-GB" w:eastAsia="nl-BE"/>
              </w:rPr>
              <w:t> </w:t>
            </w:r>
          </w:p>
        </w:tc>
        <w:tc>
          <w:tcPr>
            <w:tcW w:w="3428" w:type="dxa"/>
            <w:gridSpan w:val="4"/>
            <w:tcBorders>
              <w:top w:val="single" w:sz="4" w:space="0" w:color="auto"/>
              <w:left w:val="single" w:sz="4" w:space="0" w:color="auto"/>
              <w:bottom w:val="nil"/>
              <w:right w:val="single" w:sz="4" w:space="0" w:color="auto"/>
            </w:tcBorders>
            <w:shd w:val="clear" w:color="auto" w:fill="BFBFBF" w:themeFill="background1" w:themeFillShade="BF"/>
            <w:noWrap/>
            <w:vAlign w:val="bottom"/>
          </w:tcPr>
          <w:p w14:paraId="342EFA48" w14:textId="77777777" w:rsidR="00EC62A2" w:rsidRPr="0036109B" w:rsidRDefault="00EC62A2" w:rsidP="00CF7FFA">
            <w:pPr>
              <w:spacing w:after="0" w:line="240" w:lineRule="auto"/>
              <w:jc w:val="center"/>
              <w:rPr>
                <w:rFonts w:eastAsia="Times New Roman" w:cstheme="minorHAnsi"/>
                <w:b/>
                <w:bCs/>
                <w:color w:val="000000"/>
                <w:sz w:val="14"/>
                <w:szCs w:val="14"/>
                <w:lang w:eastAsia="nl-BE"/>
              </w:rPr>
            </w:pPr>
            <w:r w:rsidRPr="00FF4AA5">
              <w:rPr>
                <w:rFonts w:eastAsia="Times New Roman" w:cstheme="minorHAnsi"/>
                <w:b/>
                <w:bCs/>
                <w:color w:val="000000"/>
                <w:sz w:val="14"/>
                <w:szCs w:val="14"/>
                <w:lang w:val="en" w:eastAsia="nl-BE"/>
              </w:rPr>
              <w:t>Belgian imports</w:t>
            </w:r>
          </w:p>
        </w:tc>
        <w:tc>
          <w:tcPr>
            <w:tcW w:w="3055" w:type="dxa"/>
            <w:gridSpan w:val="4"/>
            <w:tcBorders>
              <w:top w:val="single" w:sz="4" w:space="0" w:color="auto"/>
              <w:left w:val="nil"/>
              <w:bottom w:val="nil"/>
              <w:right w:val="nil"/>
            </w:tcBorders>
            <w:shd w:val="clear" w:color="auto" w:fill="BFBFBF" w:themeFill="background1" w:themeFillShade="BF"/>
            <w:noWrap/>
            <w:vAlign w:val="bottom"/>
          </w:tcPr>
          <w:p w14:paraId="09447D31" w14:textId="77777777" w:rsidR="00EC62A2" w:rsidRPr="0036109B" w:rsidRDefault="00EC62A2" w:rsidP="00CF7FFA">
            <w:pPr>
              <w:spacing w:after="0" w:line="240" w:lineRule="auto"/>
              <w:jc w:val="center"/>
              <w:rPr>
                <w:rFonts w:eastAsia="Times New Roman" w:cstheme="minorHAnsi"/>
                <w:b/>
                <w:bCs/>
                <w:color w:val="000000"/>
                <w:sz w:val="14"/>
                <w:szCs w:val="14"/>
                <w:lang w:eastAsia="nl-BE"/>
              </w:rPr>
            </w:pPr>
            <w:r w:rsidRPr="00FF4AA5">
              <w:rPr>
                <w:rFonts w:eastAsia="Times New Roman" w:cstheme="minorHAnsi"/>
                <w:b/>
                <w:bCs/>
                <w:color w:val="000000"/>
                <w:sz w:val="14"/>
                <w:szCs w:val="14"/>
                <w:lang w:val="en" w:eastAsia="nl-BE"/>
              </w:rPr>
              <w:t>Belgian exports</w:t>
            </w:r>
          </w:p>
        </w:tc>
        <w:tc>
          <w:tcPr>
            <w:tcW w:w="784" w:type="dxa"/>
            <w:tcBorders>
              <w:top w:val="single" w:sz="4" w:space="0" w:color="auto"/>
              <w:left w:val="single" w:sz="4" w:space="0" w:color="auto"/>
              <w:bottom w:val="nil"/>
              <w:right w:val="single" w:sz="4" w:space="0" w:color="auto"/>
            </w:tcBorders>
            <w:shd w:val="clear" w:color="auto" w:fill="BFBFBF" w:themeFill="background1" w:themeFillShade="BF"/>
            <w:noWrap/>
            <w:vAlign w:val="bottom"/>
          </w:tcPr>
          <w:p w14:paraId="23837CE5" w14:textId="77777777" w:rsidR="00EC62A2" w:rsidRPr="0036109B" w:rsidRDefault="00EC62A2" w:rsidP="00CF7FFA">
            <w:pPr>
              <w:spacing w:after="0" w:line="240" w:lineRule="auto"/>
              <w:jc w:val="center"/>
              <w:rPr>
                <w:rFonts w:eastAsia="Times New Roman" w:cstheme="minorHAnsi"/>
                <w:b/>
                <w:bCs/>
                <w:color w:val="000000"/>
                <w:sz w:val="14"/>
                <w:szCs w:val="14"/>
                <w:lang w:eastAsia="nl-BE"/>
              </w:rPr>
            </w:pPr>
            <w:r w:rsidRPr="00FF4AA5">
              <w:rPr>
                <w:rFonts w:eastAsia="Times New Roman" w:cstheme="minorHAnsi"/>
                <w:b/>
                <w:bCs/>
                <w:color w:val="000000"/>
                <w:sz w:val="14"/>
                <w:szCs w:val="14"/>
                <w:lang w:val="en" w:eastAsia="nl-BE"/>
              </w:rPr>
              <w:t>Coverage</w:t>
            </w:r>
          </w:p>
        </w:tc>
      </w:tr>
      <w:tr w:rsidR="00EC62A2" w14:paraId="50926A82" w14:textId="77777777" w:rsidTr="00CF7FFA">
        <w:tc>
          <w:tcPr>
            <w:tcW w:w="1838" w:type="dxa"/>
            <w:tcBorders>
              <w:top w:val="nil"/>
              <w:left w:val="single" w:sz="4" w:space="0" w:color="auto"/>
              <w:bottom w:val="nil"/>
              <w:right w:val="nil"/>
            </w:tcBorders>
            <w:shd w:val="clear" w:color="auto" w:fill="BFBFBF" w:themeFill="background1" w:themeFillShade="BF"/>
            <w:noWrap/>
            <w:vAlign w:val="bottom"/>
          </w:tcPr>
          <w:p w14:paraId="727DD50B" w14:textId="77777777" w:rsidR="00EC62A2" w:rsidRPr="00FF4AA5" w:rsidRDefault="00EC62A2" w:rsidP="00CF7FFA">
            <w:pPr>
              <w:spacing w:after="0" w:line="240" w:lineRule="auto"/>
              <w:rPr>
                <w:rFonts w:eastAsia="Times New Roman" w:cstheme="minorHAnsi"/>
                <w:color w:val="000000"/>
                <w:sz w:val="14"/>
                <w:szCs w:val="14"/>
                <w:lang w:eastAsia="nl-BE"/>
              </w:rPr>
            </w:pPr>
          </w:p>
        </w:tc>
        <w:tc>
          <w:tcPr>
            <w:tcW w:w="805" w:type="dxa"/>
            <w:tcBorders>
              <w:top w:val="nil"/>
              <w:left w:val="single" w:sz="4" w:space="0" w:color="auto"/>
              <w:bottom w:val="nil"/>
              <w:right w:val="nil"/>
            </w:tcBorders>
            <w:shd w:val="clear" w:color="auto" w:fill="BFBFBF" w:themeFill="background1" w:themeFillShade="BF"/>
            <w:noWrap/>
            <w:vAlign w:val="bottom"/>
          </w:tcPr>
          <w:p w14:paraId="6063004E" w14:textId="77777777" w:rsidR="00EC62A2" w:rsidRPr="00FF4AA5" w:rsidRDefault="00EC62A2" w:rsidP="00CF7FFA">
            <w:pPr>
              <w:spacing w:after="0" w:line="240" w:lineRule="auto"/>
              <w:jc w:val="center"/>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Part</w:t>
            </w:r>
          </w:p>
        </w:tc>
        <w:tc>
          <w:tcPr>
            <w:tcW w:w="896" w:type="dxa"/>
            <w:tcBorders>
              <w:top w:val="nil"/>
              <w:left w:val="nil"/>
              <w:bottom w:val="nil"/>
              <w:right w:val="nil"/>
            </w:tcBorders>
            <w:shd w:val="clear" w:color="auto" w:fill="BFBFBF" w:themeFill="background1" w:themeFillShade="BF"/>
            <w:noWrap/>
            <w:vAlign w:val="bottom"/>
          </w:tcPr>
          <w:p w14:paraId="510F8D2C" w14:textId="77777777" w:rsidR="00EC62A2" w:rsidRPr="00FF4AA5" w:rsidRDefault="00EC62A2" w:rsidP="00CF7FFA">
            <w:pPr>
              <w:spacing w:after="0" w:line="240" w:lineRule="auto"/>
              <w:jc w:val="center"/>
              <w:rPr>
                <w:rFonts w:eastAsia="Times New Roman" w:cstheme="minorHAnsi"/>
                <w:color w:val="000000"/>
                <w:sz w:val="14"/>
                <w:szCs w:val="14"/>
                <w:lang w:eastAsia="nl-BE"/>
              </w:rPr>
            </w:pPr>
            <w:r w:rsidRPr="0036109B">
              <w:rPr>
                <w:rFonts w:eastAsia="Times New Roman" w:cstheme="minorHAnsi"/>
                <w:color w:val="000000"/>
                <w:sz w:val="14"/>
                <w:szCs w:val="14"/>
                <w:lang w:eastAsia="nl-BE"/>
              </w:rPr>
              <w:t> </w:t>
            </w:r>
          </w:p>
        </w:tc>
        <w:tc>
          <w:tcPr>
            <w:tcW w:w="992" w:type="dxa"/>
            <w:tcBorders>
              <w:top w:val="nil"/>
              <w:left w:val="nil"/>
              <w:bottom w:val="nil"/>
              <w:right w:val="nil"/>
            </w:tcBorders>
            <w:shd w:val="clear" w:color="auto" w:fill="BFBFBF" w:themeFill="background1" w:themeFillShade="BF"/>
            <w:noWrap/>
            <w:vAlign w:val="bottom"/>
          </w:tcPr>
          <w:p w14:paraId="5CA7ACD8" w14:textId="77777777" w:rsidR="00EC62A2" w:rsidRPr="00FF4AA5" w:rsidRDefault="00EC62A2" w:rsidP="00CF7FFA">
            <w:pPr>
              <w:spacing w:after="0" w:line="240" w:lineRule="auto"/>
              <w:jc w:val="center"/>
              <w:rPr>
                <w:rFonts w:eastAsia="Times New Roman" w:cstheme="minorHAnsi"/>
                <w:color w:val="000000"/>
                <w:sz w:val="14"/>
                <w:szCs w:val="14"/>
                <w:lang w:eastAsia="nl-BE"/>
              </w:rPr>
            </w:pPr>
            <w:r w:rsidRPr="0036109B">
              <w:rPr>
                <w:rFonts w:eastAsia="Times New Roman" w:cstheme="minorHAnsi"/>
                <w:color w:val="000000"/>
                <w:sz w:val="14"/>
                <w:szCs w:val="14"/>
                <w:lang w:eastAsia="nl-BE"/>
              </w:rPr>
              <w:t> </w:t>
            </w:r>
          </w:p>
        </w:tc>
        <w:tc>
          <w:tcPr>
            <w:tcW w:w="735" w:type="dxa"/>
            <w:tcBorders>
              <w:top w:val="nil"/>
              <w:left w:val="nil"/>
              <w:bottom w:val="nil"/>
              <w:right w:val="single" w:sz="4" w:space="0" w:color="auto"/>
            </w:tcBorders>
            <w:shd w:val="clear" w:color="auto" w:fill="BFBFBF" w:themeFill="background1" w:themeFillShade="BF"/>
            <w:noWrap/>
            <w:vAlign w:val="bottom"/>
          </w:tcPr>
          <w:p w14:paraId="279ECED6" w14:textId="77777777" w:rsidR="00EC62A2" w:rsidRPr="00FF4AA5" w:rsidRDefault="00EC62A2" w:rsidP="00CF7FFA">
            <w:pPr>
              <w:spacing w:after="0" w:line="240" w:lineRule="auto"/>
              <w:jc w:val="center"/>
              <w:rPr>
                <w:rFonts w:eastAsia="Times New Roman" w:cstheme="minorHAnsi"/>
                <w:color w:val="000000"/>
                <w:sz w:val="14"/>
                <w:szCs w:val="14"/>
                <w:lang w:eastAsia="nl-BE"/>
              </w:rPr>
            </w:pPr>
            <w:r w:rsidRPr="0036109B">
              <w:rPr>
                <w:rFonts w:eastAsia="Times New Roman" w:cstheme="minorHAnsi"/>
                <w:color w:val="000000"/>
                <w:sz w:val="14"/>
                <w:szCs w:val="14"/>
                <w:lang w:eastAsia="nl-BE"/>
              </w:rPr>
              <w:t> </w:t>
            </w:r>
          </w:p>
        </w:tc>
        <w:tc>
          <w:tcPr>
            <w:tcW w:w="638" w:type="dxa"/>
            <w:tcBorders>
              <w:top w:val="nil"/>
              <w:left w:val="nil"/>
              <w:bottom w:val="nil"/>
              <w:right w:val="nil"/>
            </w:tcBorders>
            <w:shd w:val="clear" w:color="auto" w:fill="BFBFBF" w:themeFill="background1" w:themeFillShade="BF"/>
            <w:noWrap/>
            <w:vAlign w:val="bottom"/>
          </w:tcPr>
          <w:p w14:paraId="12719E98" w14:textId="77777777" w:rsidR="00EC62A2" w:rsidRPr="00FF4AA5" w:rsidRDefault="00EC62A2" w:rsidP="00CF7FFA">
            <w:pPr>
              <w:spacing w:after="0" w:line="240" w:lineRule="auto"/>
              <w:jc w:val="center"/>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Part</w:t>
            </w:r>
          </w:p>
        </w:tc>
        <w:tc>
          <w:tcPr>
            <w:tcW w:w="805" w:type="dxa"/>
            <w:tcBorders>
              <w:top w:val="nil"/>
              <w:left w:val="nil"/>
              <w:bottom w:val="nil"/>
              <w:right w:val="nil"/>
            </w:tcBorders>
            <w:shd w:val="clear" w:color="auto" w:fill="BFBFBF" w:themeFill="background1" w:themeFillShade="BF"/>
            <w:noWrap/>
            <w:vAlign w:val="bottom"/>
          </w:tcPr>
          <w:p w14:paraId="2BDDDF33" w14:textId="77777777" w:rsidR="00EC62A2" w:rsidRPr="00FF4AA5" w:rsidRDefault="00EC62A2" w:rsidP="00CF7FFA">
            <w:pPr>
              <w:spacing w:after="0" w:line="240" w:lineRule="auto"/>
              <w:jc w:val="center"/>
              <w:rPr>
                <w:rFonts w:eastAsia="Times New Roman" w:cstheme="minorHAnsi"/>
                <w:color w:val="000000"/>
                <w:sz w:val="14"/>
                <w:szCs w:val="14"/>
                <w:lang w:eastAsia="nl-BE"/>
              </w:rPr>
            </w:pPr>
            <w:r w:rsidRPr="0036109B">
              <w:rPr>
                <w:rFonts w:eastAsia="Times New Roman" w:cstheme="minorHAnsi"/>
                <w:color w:val="000000"/>
                <w:sz w:val="14"/>
                <w:szCs w:val="14"/>
                <w:lang w:eastAsia="nl-BE"/>
              </w:rPr>
              <w:t> </w:t>
            </w:r>
          </w:p>
        </w:tc>
        <w:tc>
          <w:tcPr>
            <w:tcW w:w="806" w:type="dxa"/>
            <w:tcBorders>
              <w:top w:val="nil"/>
              <w:left w:val="nil"/>
              <w:bottom w:val="nil"/>
              <w:right w:val="nil"/>
            </w:tcBorders>
            <w:shd w:val="clear" w:color="auto" w:fill="BFBFBF" w:themeFill="background1" w:themeFillShade="BF"/>
            <w:noWrap/>
            <w:vAlign w:val="bottom"/>
          </w:tcPr>
          <w:p w14:paraId="79C860EB" w14:textId="77777777" w:rsidR="00EC62A2" w:rsidRPr="00FF4AA5" w:rsidRDefault="00EC62A2" w:rsidP="00CF7FFA">
            <w:pPr>
              <w:spacing w:after="0" w:line="240" w:lineRule="auto"/>
              <w:jc w:val="center"/>
              <w:rPr>
                <w:rFonts w:eastAsia="Times New Roman" w:cstheme="minorHAnsi"/>
                <w:color w:val="000000"/>
                <w:sz w:val="14"/>
                <w:szCs w:val="14"/>
                <w:lang w:eastAsia="nl-BE"/>
              </w:rPr>
            </w:pPr>
            <w:r w:rsidRPr="0036109B">
              <w:rPr>
                <w:rFonts w:eastAsia="Times New Roman" w:cstheme="minorHAnsi"/>
                <w:color w:val="000000"/>
                <w:sz w:val="14"/>
                <w:szCs w:val="14"/>
                <w:lang w:eastAsia="nl-BE"/>
              </w:rPr>
              <w:t> </w:t>
            </w:r>
          </w:p>
        </w:tc>
        <w:tc>
          <w:tcPr>
            <w:tcW w:w="806" w:type="dxa"/>
            <w:tcBorders>
              <w:top w:val="nil"/>
              <w:left w:val="nil"/>
              <w:bottom w:val="nil"/>
              <w:right w:val="nil"/>
            </w:tcBorders>
            <w:shd w:val="clear" w:color="auto" w:fill="BFBFBF" w:themeFill="background1" w:themeFillShade="BF"/>
            <w:noWrap/>
            <w:vAlign w:val="bottom"/>
          </w:tcPr>
          <w:p w14:paraId="173B1CD2" w14:textId="77777777" w:rsidR="00EC62A2" w:rsidRPr="00FF4AA5" w:rsidRDefault="00EC62A2" w:rsidP="00CF7FFA">
            <w:pPr>
              <w:spacing w:after="0" w:line="240" w:lineRule="auto"/>
              <w:jc w:val="center"/>
              <w:rPr>
                <w:rFonts w:eastAsia="Times New Roman" w:cstheme="minorHAnsi"/>
                <w:color w:val="000000"/>
                <w:sz w:val="14"/>
                <w:szCs w:val="14"/>
                <w:lang w:eastAsia="nl-BE"/>
              </w:rPr>
            </w:pPr>
            <w:r w:rsidRPr="0036109B">
              <w:rPr>
                <w:rFonts w:eastAsia="Times New Roman" w:cstheme="minorHAnsi"/>
                <w:color w:val="000000"/>
                <w:sz w:val="14"/>
                <w:szCs w:val="14"/>
                <w:lang w:eastAsia="nl-BE"/>
              </w:rPr>
              <w:t> </w:t>
            </w:r>
          </w:p>
        </w:tc>
        <w:tc>
          <w:tcPr>
            <w:tcW w:w="784" w:type="dxa"/>
            <w:tcBorders>
              <w:top w:val="nil"/>
              <w:left w:val="single" w:sz="4" w:space="0" w:color="auto"/>
              <w:bottom w:val="nil"/>
              <w:right w:val="single" w:sz="4" w:space="0" w:color="auto"/>
            </w:tcBorders>
            <w:shd w:val="clear" w:color="auto" w:fill="BFBFBF" w:themeFill="background1" w:themeFillShade="BF"/>
            <w:noWrap/>
            <w:vAlign w:val="bottom"/>
          </w:tcPr>
          <w:p w14:paraId="51CD6B18" w14:textId="77777777" w:rsidR="00EC62A2" w:rsidRPr="00FF4AA5" w:rsidRDefault="00EC62A2" w:rsidP="00CF7FFA">
            <w:pPr>
              <w:spacing w:after="0" w:line="240" w:lineRule="auto"/>
              <w:jc w:val="center"/>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percentage</w:t>
            </w:r>
          </w:p>
        </w:tc>
      </w:tr>
      <w:tr w:rsidR="00EC62A2" w14:paraId="573C308A" w14:textId="77777777" w:rsidTr="00CF7FFA">
        <w:tc>
          <w:tcPr>
            <w:tcW w:w="1838" w:type="dxa"/>
            <w:tcBorders>
              <w:top w:val="nil"/>
              <w:left w:val="single" w:sz="4" w:space="0" w:color="auto"/>
              <w:bottom w:val="nil"/>
              <w:right w:val="nil"/>
            </w:tcBorders>
            <w:shd w:val="clear" w:color="auto" w:fill="BFBFBF" w:themeFill="background1" w:themeFillShade="BF"/>
            <w:noWrap/>
            <w:vAlign w:val="bottom"/>
            <w:hideMark/>
          </w:tcPr>
          <w:p w14:paraId="1C0CE18F"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eastAsia="nl-BE"/>
              </w:rPr>
              <w:t> </w:t>
            </w:r>
          </w:p>
        </w:tc>
        <w:tc>
          <w:tcPr>
            <w:tcW w:w="805" w:type="dxa"/>
            <w:tcBorders>
              <w:top w:val="nil"/>
              <w:left w:val="single" w:sz="4" w:space="0" w:color="auto"/>
              <w:bottom w:val="nil"/>
              <w:right w:val="nil"/>
            </w:tcBorders>
            <w:shd w:val="clear" w:color="auto" w:fill="BFBFBF" w:themeFill="background1" w:themeFillShade="BF"/>
            <w:noWrap/>
            <w:vAlign w:val="bottom"/>
            <w:hideMark/>
          </w:tcPr>
          <w:p w14:paraId="3535E6BE" w14:textId="77777777" w:rsidR="00EC62A2" w:rsidRPr="0036109B" w:rsidRDefault="00EC62A2" w:rsidP="00CF7FFA">
            <w:pPr>
              <w:spacing w:after="0" w:line="240" w:lineRule="auto"/>
              <w:jc w:val="center"/>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6m2024</w:t>
            </w:r>
          </w:p>
        </w:tc>
        <w:tc>
          <w:tcPr>
            <w:tcW w:w="896" w:type="dxa"/>
            <w:tcBorders>
              <w:top w:val="nil"/>
              <w:left w:val="nil"/>
              <w:bottom w:val="nil"/>
              <w:right w:val="nil"/>
            </w:tcBorders>
            <w:shd w:val="clear" w:color="auto" w:fill="BFBFBF" w:themeFill="background1" w:themeFillShade="BF"/>
            <w:noWrap/>
            <w:vAlign w:val="bottom"/>
            <w:hideMark/>
          </w:tcPr>
          <w:p w14:paraId="6FE1DEE9" w14:textId="77777777" w:rsidR="00EC62A2" w:rsidRPr="0036109B" w:rsidRDefault="00EC62A2" w:rsidP="00CF7FFA">
            <w:pPr>
              <w:spacing w:after="0" w:line="240" w:lineRule="auto"/>
              <w:jc w:val="center"/>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6m2023</w:t>
            </w:r>
          </w:p>
        </w:tc>
        <w:tc>
          <w:tcPr>
            <w:tcW w:w="992" w:type="dxa"/>
            <w:tcBorders>
              <w:top w:val="nil"/>
              <w:left w:val="nil"/>
              <w:bottom w:val="nil"/>
              <w:right w:val="nil"/>
            </w:tcBorders>
            <w:shd w:val="clear" w:color="auto" w:fill="BFBFBF" w:themeFill="background1" w:themeFillShade="BF"/>
            <w:noWrap/>
            <w:vAlign w:val="bottom"/>
            <w:hideMark/>
          </w:tcPr>
          <w:p w14:paraId="47319352" w14:textId="77777777" w:rsidR="00EC62A2" w:rsidRPr="0036109B" w:rsidRDefault="00EC62A2" w:rsidP="00CF7FFA">
            <w:pPr>
              <w:spacing w:after="0" w:line="240" w:lineRule="auto"/>
              <w:jc w:val="center"/>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6m2024</w:t>
            </w:r>
          </w:p>
        </w:tc>
        <w:tc>
          <w:tcPr>
            <w:tcW w:w="735" w:type="dxa"/>
            <w:tcBorders>
              <w:top w:val="nil"/>
              <w:left w:val="nil"/>
              <w:bottom w:val="nil"/>
              <w:right w:val="single" w:sz="4" w:space="0" w:color="auto"/>
            </w:tcBorders>
            <w:shd w:val="clear" w:color="auto" w:fill="BFBFBF" w:themeFill="background1" w:themeFillShade="BF"/>
            <w:noWrap/>
            <w:vAlign w:val="bottom"/>
            <w:hideMark/>
          </w:tcPr>
          <w:p w14:paraId="53ED823C" w14:textId="77777777" w:rsidR="00EC62A2" w:rsidRPr="0036109B" w:rsidRDefault="00EC62A2" w:rsidP="00CF7FFA">
            <w:pPr>
              <w:spacing w:after="0" w:line="240" w:lineRule="auto"/>
              <w:jc w:val="center"/>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6m</w:t>
            </w:r>
          </w:p>
        </w:tc>
        <w:tc>
          <w:tcPr>
            <w:tcW w:w="638" w:type="dxa"/>
            <w:tcBorders>
              <w:top w:val="nil"/>
              <w:left w:val="nil"/>
              <w:bottom w:val="nil"/>
              <w:right w:val="nil"/>
            </w:tcBorders>
            <w:shd w:val="clear" w:color="auto" w:fill="BFBFBF" w:themeFill="background1" w:themeFillShade="BF"/>
            <w:noWrap/>
            <w:vAlign w:val="bottom"/>
            <w:hideMark/>
          </w:tcPr>
          <w:p w14:paraId="59AA22A5" w14:textId="77777777" w:rsidR="00EC62A2" w:rsidRPr="0036109B" w:rsidRDefault="00EC62A2" w:rsidP="00CF7FFA">
            <w:pPr>
              <w:spacing w:after="0" w:line="240" w:lineRule="auto"/>
              <w:jc w:val="center"/>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6m2024</w:t>
            </w:r>
          </w:p>
        </w:tc>
        <w:tc>
          <w:tcPr>
            <w:tcW w:w="805" w:type="dxa"/>
            <w:tcBorders>
              <w:top w:val="nil"/>
              <w:left w:val="nil"/>
              <w:bottom w:val="nil"/>
              <w:right w:val="nil"/>
            </w:tcBorders>
            <w:shd w:val="clear" w:color="auto" w:fill="BFBFBF" w:themeFill="background1" w:themeFillShade="BF"/>
            <w:noWrap/>
            <w:vAlign w:val="bottom"/>
            <w:hideMark/>
          </w:tcPr>
          <w:p w14:paraId="6EFFEE87" w14:textId="77777777" w:rsidR="00EC62A2" w:rsidRPr="0036109B" w:rsidRDefault="00EC62A2" w:rsidP="00CF7FFA">
            <w:pPr>
              <w:spacing w:after="0" w:line="240" w:lineRule="auto"/>
              <w:jc w:val="center"/>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6m2023</w:t>
            </w:r>
          </w:p>
        </w:tc>
        <w:tc>
          <w:tcPr>
            <w:tcW w:w="806" w:type="dxa"/>
            <w:tcBorders>
              <w:top w:val="nil"/>
              <w:left w:val="nil"/>
              <w:bottom w:val="nil"/>
              <w:right w:val="nil"/>
            </w:tcBorders>
            <w:shd w:val="clear" w:color="auto" w:fill="BFBFBF" w:themeFill="background1" w:themeFillShade="BF"/>
            <w:noWrap/>
            <w:vAlign w:val="bottom"/>
            <w:hideMark/>
          </w:tcPr>
          <w:p w14:paraId="6B6EA208" w14:textId="77777777" w:rsidR="00EC62A2" w:rsidRPr="0036109B" w:rsidRDefault="00EC62A2" w:rsidP="00CF7FFA">
            <w:pPr>
              <w:spacing w:after="0" w:line="240" w:lineRule="auto"/>
              <w:jc w:val="center"/>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6m2024</w:t>
            </w:r>
          </w:p>
        </w:tc>
        <w:tc>
          <w:tcPr>
            <w:tcW w:w="806" w:type="dxa"/>
            <w:tcBorders>
              <w:top w:val="nil"/>
              <w:left w:val="nil"/>
              <w:bottom w:val="nil"/>
              <w:right w:val="single" w:sz="4" w:space="0" w:color="auto"/>
            </w:tcBorders>
            <w:shd w:val="clear" w:color="auto" w:fill="BFBFBF" w:themeFill="background1" w:themeFillShade="BF"/>
            <w:noWrap/>
            <w:vAlign w:val="bottom"/>
            <w:hideMark/>
          </w:tcPr>
          <w:p w14:paraId="0E4B09D1" w14:textId="77777777" w:rsidR="00EC62A2" w:rsidRPr="0036109B" w:rsidRDefault="00EC62A2" w:rsidP="00CF7FFA">
            <w:pPr>
              <w:spacing w:after="0" w:line="240" w:lineRule="auto"/>
              <w:jc w:val="center"/>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6m</w:t>
            </w:r>
          </w:p>
        </w:tc>
        <w:tc>
          <w:tcPr>
            <w:tcW w:w="784" w:type="dxa"/>
            <w:tcBorders>
              <w:top w:val="nil"/>
              <w:left w:val="nil"/>
              <w:bottom w:val="nil"/>
              <w:right w:val="single" w:sz="4" w:space="0" w:color="auto"/>
            </w:tcBorders>
            <w:shd w:val="clear" w:color="auto" w:fill="BFBFBF" w:themeFill="background1" w:themeFillShade="BF"/>
            <w:noWrap/>
            <w:vAlign w:val="bottom"/>
            <w:hideMark/>
          </w:tcPr>
          <w:p w14:paraId="6FC4429B" w14:textId="77777777" w:rsidR="00EC62A2" w:rsidRPr="0036109B" w:rsidRDefault="00EC62A2" w:rsidP="00CF7FFA">
            <w:pPr>
              <w:spacing w:after="0" w:line="240" w:lineRule="auto"/>
              <w:jc w:val="center"/>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6m2024</w:t>
            </w:r>
          </w:p>
        </w:tc>
      </w:tr>
      <w:tr w:rsidR="00EC62A2" w14:paraId="19698F7C" w14:textId="77777777" w:rsidTr="00CF7FFA">
        <w:tc>
          <w:tcPr>
            <w:tcW w:w="1838" w:type="dxa"/>
            <w:tcBorders>
              <w:top w:val="nil"/>
              <w:left w:val="single" w:sz="4" w:space="0" w:color="auto"/>
              <w:bottom w:val="single" w:sz="4" w:space="0" w:color="auto"/>
              <w:right w:val="nil"/>
            </w:tcBorders>
            <w:shd w:val="clear" w:color="auto" w:fill="BFBFBF" w:themeFill="background1" w:themeFillShade="BF"/>
            <w:noWrap/>
            <w:vAlign w:val="bottom"/>
            <w:hideMark/>
          </w:tcPr>
          <w:p w14:paraId="3B1EFE44" w14:textId="77777777" w:rsidR="00EC62A2" w:rsidRPr="0036109B" w:rsidRDefault="00EC62A2" w:rsidP="00CF7FFA">
            <w:pPr>
              <w:spacing w:after="0" w:line="240" w:lineRule="auto"/>
              <w:rPr>
                <w:rFonts w:eastAsia="Times New Roman" w:cstheme="minorHAnsi"/>
                <w:b/>
                <w:bCs/>
                <w:color w:val="000000"/>
                <w:sz w:val="14"/>
                <w:szCs w:val="14"/>
                <w:lang w:eastAsia="nl-BE"/>
              </w:rPr>
            </w:pPr>
            <w:r w:rsidRPr="0036109B">
              <w:rPr>
                <w:rFonts w:eastAsia="Times New Roman" w:cstheme="minorHAnsi"/>
                <w:b/>
                <w:bCs/>
                <w:color w:val="000000"/>
                <w:sz w:val="14"/>
                <w:szCs w:val="14"/>
                <w:lang w:eastAsia="nl-BE"/>
              </w:rPr>
              <w:t> </w:t>
            </w:r>
          </w:p>
        </w:tc>
        <w:tc>
          <w:tcPr>
            <w:tcW w:w="805" w:type="dxa"/>
            <w:tcBorders>
              <w:top w:val="nil"/>
              <w:left w:val="single" w:sz="4" w:space="0" w:color="auto"/>
              <w:bottom w:val="nil"/>
              <w:right w:val="nil"/>
            </w:tcBorders>
            <w:shd w:val="clear" w:color="auto" w:fill="BFBFBF" w:themeFill="background1" w:themeFillShade="BF"/>
            <w:noWrap/>
            <w:vAlign w:val="bottom"/>
            <w:hideMark/>
          </w:tcPr>
          <w:p w14:paraId="2F0D5244" w14:textId="77777777" w:rsidR="00EC62A2" w:rsidRPr="0036109B" w:rsidRDefault="00EC62A2" w:rsidP="00CF7FFA">
            <w:pPr>
              <w:spacing w:after="0" w:line="240" w:lineRule="auto"/>
              <w:jc w:val="center"/>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in %</w:t>
            </w:r>
          </w:p>
        </w:tc>
        <w:tc>
          <w:tcPr>
            <w:tcW w:w="896" w:type="dxa"/>
            <w:tcBorders>
              <w:top w:val="nil"/>
              <w:left w:val="nil"/>
              <w:bottom w:val="nil"/>
              <w:right w:val="nil"/>
            </w:tcBorders>
            <w:shd w:val="clear" w:color="auto" w:fill="BFBFBF" w:themeFill="background1" w:themeFillShade="BF"/>
            <w:noWrap/>
            <w:vAlign w:val="bottom"/>
            <w:hideMark/>
          </w:tcPr>
          <w:p w14:paraId="2D19D332" w14:textId="77777777" w:rsidR="00EC62A2" w:rsidRPr="0036109B" w:rsidRDefault="00EC62A2" w:rsidP="00CF7FFA">
            <w:pPr>
              <w:spacing w:after="0" w:line="240" w:lineRule="auto"/>
              <w:jc w:val="center"/>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1000 EUR</w:t>
            </w:r>
          </w:p>
        </w:tc>
        <w:tc>
          <w:tcPr>
            <w:tcW w:w="992" w:type="dxa"/>
            <w:tcBorders>
              <w:top w:val="nil"/>
              <w:left w:val="nil"/>
              <w:bottom w:val="nil"/>
              <w:right w:val="nil"/>
            </w:tcBorders>
            <w:shd w:val="clear" w:color="auto" w:fill="BFBFBF" w:themeFill="background1" w:themeFillShade="BF"/>
            <w:noWrap/>
            <w:vAlign w:val="bottom"/>
            <w:hideMark/>
          </w:tcPr>
          <w:p w14:paraId="52C7EC7F" w14:textId="77777777" w:rsidR="00EC62A2" w:rsidRPr="0036109B" w:rsidRDefault="00EC62A2" w:rsidP="00CF7FFA">
            <w:pPr>
              <w:spacing w:after="0" w:line="240" w:lineRule="auto"/>
              <w:jc w:val="center"/>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1000 EUR</w:t>
            </w:r>
          </w:p>
        </w:tc>
        <w:tc>
          <w:tcPr>
            <w:tcW w:w="735" w:type="dxa"/>
            <w:tcBorders>
              <w:top w:val="nil"/>
              <w:left w:val="nil"/>
              <w:bottom w:val="nil"/>
              <w:right w:val="nil"/>
            </w:tcBorders>
            <w:shd w:val="clear" w:color="auto" w:fill="BFBFBF" w:themeFill="background1" w:themeFillShade="BF"/>
            <w:noWrap/>
            <w:vAlign w:val="bottom"/>
            <w:hideMark/>
          </w:tcPr>
          <w:p w14:paraId="5AC89AFA" w14:textId="77777777" w:rsidR="00EC62A2" w:rsidRPr="0036109B" w:rsidRDefault="00EC62A2" w:rsidP="00CF7FFA">
            <w:pPr>
              <w:spacing w:after="0" w:line="240" w:lineRule="auto"/>
              <w:jc w:val="center"/>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24/23</w:t>
            </w:r>
          </w:p>
        </w:tc>
        <w:tc>
          <w:tcPr>
            <w:tcW w:w="638" w:type="dxa"/>
            <w:tcBorders>
              <w:top w:val="nil"/>
              <w:left w:val="single" w:sz="4" w:space="0" w:color="auto"/>
              <w:bottom w:val="nil"/>
              <w:right w:val="nil"/>
            </w:tcBorders>
            <w:shd w:val="clear" w:color="auto" w:fill="BFBFBF" w:themeFill="background1" w:themeFillShade="BF"/>
            <w:noWrap/>
            <w:vAlign w:val="bottom"/>
            <w:hideMark/>
          </w:tcPr>
          <w:p w14:paraId="5CEE56AA" w14:textId="77777777" w:rsidR="00EC62A2" w:rsidRPr="0036109B" w:rsidRDefault="00EC62A2" w:rsidP="00CF7FFA">
            <w:pPr>
              <w:spacing w:after="0" w:line="240" w:lineRule="auto"/>
              <w:jc w:val="center"/>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in %</w:t>
            </w:r>
          </w:p>
        </w:tc>
        <w:tc>
          <w:tcPr>
            <w:tcW w:w="805" w:type="dxa"/>
            <w:tcBorders>
              <w:top w:val="nil"/>
              <w:left w:val="nil"/>
              <w:bottom w:val="nil"/>
              <w:right w:val="nil"/>
            </w:tcBorders>
            <w:shd w:val="clear" w:color="auto" w:fill="BFBFBF" w:themeFill="background1" w:themeFillShade="BF"/>
            <w:noWrap/>
            <w:vAlign w:val="bottom"/>
            <w:hideMark/>
          </w:tcPr>
          <w:p w14:paraId="3E7F9C89" w14:textId="77777777" w:rsidR="00EC62A2" w:rsidRPr="0036109B" w:rsidRDefault="00EC62A2" w:rsidP="00CF7FFA">
            <w:pPr>
              <w:spacing w:after="0" w:line="240" w:lineRule="auto"/>
              <w:jc w:val="center"/>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1000 EUR</w:t>
            </w:r>
          </w:p>
        </w:tc>
        <w:tc>
          <w:tcPr>
            <w:tcW w:w="806" w:type="dxa"/>
            <w:tcBorders>
              <w:top w:val="nil"/>
              <w:left w:val="nil"/>
              <w:bottom w:val="nil"/>
              <w:right w:val="nil"/>
            </w:tcBorders>
            <w:shd w:val="clear" w:color="auto" w:fill="BFBFBF" w:themeFill="background1" w:themeFillShade="BF"/>
            <w:noWrap/>
            <w:vAlign w:val="bottom"/>
            <w:hideMark/>
          </w:tcPr>
          <w:p w14:paraId="40A5195F" w14:textId="77777777" w:rsidR="00EC62A2" w:rsidRPr="0036109B" w:rsidRDefault="00EC62A2" w:rsidP="00CF7FFA">
            <w:pPr>
              <w:spacing w:after="0" w:line="240" w:lineRule="auto"/>
              <w:jc w:val="center"/>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1000 EUR</w:t>
            </w:r>
          </w:p>
        </w:tc>
        <w:tc>
          <w:tcPr>
            <w:tcW w:w="806" w:type="dxa"/>
            <w:tcBorders>
              <w:top w:val="nil"/>
              <w:left w:val="nil"/>
              <w:bottom w:val="nil"/>
              <w:right w:val="nil"/>
            </w:tcBorders>
            <w:shd w:val="clear" w:color="auto" w:fill="BFBFBF" w:themeFill="background1" w:themeFillShade="BF"/>
            <w:noWrap/>
            <w:vAlign w:val="bottom"/>
            <w:hideMark/>
          </w:tcPr>
          <w:p w14:paraId="18CB370B" w14:textId="77777777" w:rsidR="00EC62A2" w:rsidRPr="0036109B" w:rsidRDefault="00EC62A2" w:rsidP="00CF7FFA">
            <w:pPr>
              <w:spacing w:after="0" w:line="240" w:lineRule="auto"/>
              <w:jc w:val="center"/>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24/23</w:t>
            </w:r>
          </w:p>
        </w:tc>
        <w:tc>
          <w:tcPr>
            <w:tcW w:w="78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70B5931" w14:textId="77777777" w:rsidR="00EC62A2" w:rsidRPr="0036109B" w:rsidRDefault="00EC62A2" w:rsidP="00CF7FFA">
            <w:pPr>
              <w:spacing w:after="0" w:line="240" w:lineRule="auto"/>
              <w:jc w:val="center"/>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(Exp/imp)</w:t>
            </w:r>
          </w:p>
        </w:tc>
      </w:tr>
      <w:tr w:rsidR="00EC62A2" w14:paraId="7BF73B0D" w14:textId="77777777" w:rsidTr="00CF7FFA">
        <w:tc>
          <w:tcPr>
            <w:tcW w:w="1838" w:type="dxa"/>
            <w:tcBorders>
              <w:top w:val="nil"/>
              <w:left w:val="single" w:sz="4" w:space="0" w:color="auto"/>
              <w:bottom w:val="single" w:sz="4" w:space="0" w:color="auto"/>
              <w:right w:val="nil"/>
            </w:tcBorders>
            <w:shd w:val="clear" w:color="auto" w:fill="D9D9D9" w:themeFill="background1" w:themeFillShade="D9"/>
            <w:vAlign w:val="bottom"/>
            <w:hideMark/>
          </w:tcPr>
          <w:p w14:paraId="01B243FE" w14:textId="77777777" w:rsidR="00EC62A2" w:rsidRPr="0036109B" w:rsidRDefault="00EC62A2" w:rsidP="00CF7FFA">
            <w:pPr>
              <w:spacing w:after="0" w:line="240" w:lineRule="auto"/>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European Union</w:t>
            </w:r>
          </w:p>
        </w:tc>
        <w:tc>
          <w:tcPr>
            <w:tcW w:w="805" w:type="dxa"/>
            <w:tcBorders>
              <w:top w:val="single" w:sz="4" w:space="0" w:color="auto"/>
              <w:left w:val="single" w:sz="4" w:space="0" w:color="auto"/>
              <w:bottom w:val="single" w:sz="4" w:space="0" w:color="auto"/>
              <w:right w:val="nil"/>
            </w:tcBorders>
            <w:shd w:val="clear" w:color="auto" w:fill="D9D9D9" w:themeFill="background1" w:themeFillShade="D9"/>
            <w:vAlign w:val="bottom"/>
            <w:hideMark/>
          </w:tcPr>
          <w:p w14:paraId="2EE726BD"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58.2</w:t>
            </w:r>
          </w:p>
        </w:tc>
        <w:tc>
          <w:tcPr>
            <w:tcW w:w="896" w:type="dxa"/>
            <w:tcBorders>
              <w:top w:val="single" w:sz="4" w:space="0" w:color="auto"/>
              <w:left w:val="nil"/>
              <w:bottom w:val="single" w:sz="4" w:space="0" w:color="auto"/>
              <w:right w:val="nil"/>
            </w:tcBorders>
            <w:shd w:val="clear" w:color="auto" w:fill="D9D9D9" w:themeFill="background1" w:themeFillShade="D9"/>
            <w:vAlign w:val="bottom"/>
            <w:hideMark/>
          </w:tcPr>
          <w:p w14:paraId="74C5F4BB"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759,175.6</w:t>
            </w:r>
          </w:p>
        </w:tc>
        <w:tc>
          <w:tcPr>
            <w:tcW w:w="992" w:type="dxa"/>
            <w:tcBorders>
              <w:top w:val="single" w:sz="4" w:space="0" w:color="auto"/>
              <w:left w:val="nil"/>
              <w:bottom w:val="single" w:sz="4" w:space="0" w:color="auto"/>
              <w:right w:val="nil"/>
            </w:tcBorders>
            <w:shd w:val="clear" w:color="auto" w:fill="D9D9D9" w:themeFill="background1" w:themeFillShade="D9"/>
            <w:vAlign w:val="bottom"/>
            <w:hideMark/>
          </w:tcPr>
          <w:p w14:paraId="694A9321"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718,148.7</w:t>
            </w:r>
          </w:p>
        </w:tc>
        <w:tc>
          <w:tcPr>
            <w:tcW w:w="735" w:type="dxa"/>
            <w:tcBorders>
              <w:top w:val="single" w:sz="4" w:space="0" w:color="auto"/>
              <w:left w:val="nil"/>
              <w:bottom w:val="single" w:sz="4" w:space="0" w:color="auto"/>
              <w:right w:val="nil"/>
            </w:tcBorders>
            <w:shd w:val="clear" w:color="auto" w:fill="D9D9D9" w:themeFill="background1" w:themeFillShade="D9"/>
            <w:noWrap/>
            <w:vAlign w:val="bottom"/>
            <w:hideMark/>
          </w:tcPr>
          <w:p w14:paraId="6CFB5A16"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−5.4</w:t>
            </w:r>
          </w:p>
        </w:tc>
        <w:tc>
          <w:tcPr>
            <w:tcW w:w="638" w:type="dxa"/>
            <w:tcBorders>
              <w:top w:val="single" w:sz="4" w:space="0" w:color="auto"/>
              <w:left w:val="single" w:sz="4" w:space="0" w:color="auto"/>
              <w:bottom w:val="single" w:sz="4" w:space="0" w:color="auto"/>
              <w:right w:val="nil"/>
            </w:tcBorders>
            <w:shd w:val="clear" w:color="auto" w:fill="D9D9D9" w:themeFill="background1" w:themeFillShade="D9"/>
            <w:vAlign w:val="bottom"/>
            <w:hideMark/>
          </w:tcPr>
          <w:p w14:paraId="01BBFCED"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87.4</w:t>
            </w:r>
          </w:p>
        </w:tc>
        <w:tc>
          <w:tcPr>
            <w:tcW w:w="805" w:type="dxa"/>
            <w:tcBorders>
              <w:top w:val="single" w:sz="4" w:space="0" w:color="auto"/>
              <w:left w:val="nil"/>
              <w:bottom w:val="single" w:sz="4" w:space="0" w:color="auto"/>
              <w:right w:val="nil"/>
            </w:tcBorders>
            <w:shd w:val="clear" w:color="auto" w:fill="D9D9D9" w:themeFill="background1" w:themeFillShade="D9"/>
            <w:vAlign w:val="bottom"/>
            <w:hideMark/>
          </w:tcPr>
          <w:p w14:paraId="23E2B830"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719,148.7</w:t>
            </w:r>
          </w:p>
        </w:tc>
        <w:tc>
          <w:tcPr>
            <w:tcW w:w="806" w:type="dxa"/>
            <w:tcBorders>
              <w:top w:val="single" w:sz="4" w:space="0" w:color="auto"/>
              <w:left w:val="nil"/>
              <w:bottom w:val="single" w:sz="4" w:space="0" w:color="auto"/>
              <w:right w:val="nil"/>
            </w:tcBorders>
            <w:shd w:val="clear" w:color="auto" w:fill="D9D9D9" w:themeFill="background1" w:themeFillShade="D9"/>
            <w:vAlign w:val="bottom"/>
            <w:hideMark/>
          </w:tcPr>
          <w:p w14:paraId="4BC0C3BC"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705,648.8</w:t>
            </w:r>
          </w:p>
        </w:tc>
        <w:tc>
          <w:tcPr>
            <w:tcW w:w="80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D21D9EA"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−1.9</w:t>
            </w:r>
          </w:p>
        </w:tc>
        <w:tc>
          <w:tcPr>
            <w:tcW w:w="784" w:type="dxa"/>
            <w:tcBorders>
              <w:top w:val="nil"/>
              <w:left w:val="nil"/>
              <w:bottom w:val="single" w:sz="4" w:space="0" w:color="auto"/>
              <w:right w:val="single" w:sz="4" w:space="0" w:color="auto"/>
            </w:tcBorders>
            <w:shd w:val="clear" w:color="auto" w:fill="D9D9D9" w:themeFill="background1" w:themeFillShade="D9"/>
            <w:noWrap/>
            <w:vAlign w:val="bottom"/>
            <w:hideMark/>
          </w:tcPr>
          <w:p w14:paraId="56B1BEF2"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98.3</w:t>
            </w:r>
          </w:p>
        </w:tc>
      </w:tr>
      <w:tr w:rsidR="00EC62A2" w14:paraId="2DDD2136"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56A16C90"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France</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09CEC07C"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5.6</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5BBB054D"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74,355.3</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30C733EA"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68,951.3</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651F62C9"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−7.3</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001D9D81"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29.7</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0B30013C"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275,969.1</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4BAC0415"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240,053.1</w:t>
            </w:r>
          </w:p>
        </w:tc>
        <w:tc>
          <w:tcPr>
            <w:tcW w:w="806" w:type="dxa"/>
            <w:tcBorders>
              <w:top w:val="nil"/>
              <w:left w:val="nil"/>
              <w:bottom w:val="single" w:sz="4" w:space="0" w:color="FFFFFF" w:themeColor="background1"/>
              <w:right w:val="nil"/>
            </w:tcBorders>
            <w:shd w:val="clear" w:color="auto" w:fill="auto"/>
            <w:noWrap/>
            <w:vAlign w:val="bottom"/>
            <w:hideMark/>
          </w:tcPr>
          <w:p w14:paraId="21258512"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−13.0</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376EB9DD"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348.1</w:t>
            </w:r>
          </w:p>
        </w:tc>
      </w:tr>
      <w:tr w:rsidR="00EC62A2" w14:paraId="63F28E58"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174FEADD"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Netherlands</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6FF1D661"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14.3</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2BBA4CFD"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200,470.1</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2528423B"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176,868.3</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14818D61"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−11.8</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491981B4"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21.8</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7291AA75"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198,995.8</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59454310"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176,192.1</w:t>
            </w:r>
          </w:p>
        </w:tc>
        <w:tc>
          <w:tcPr>
            <w:tcW w:w="806" w:type="dxa"/>
            <w:tcBorders>
              <w:top w:val="nil"/>
              <w:left w:val="nil"/>
              <w:bottom w:val="single" w:sz="4" w:space="0" w:color="FFFFFF" w:themeColor="background1"/>
              <w:right w:val="nil"/>
            </w:tcBorders>
            <w:shd w:val="clear" w:color="auto" w:fill="auto"/>
            <w:noWrap/>
            <w:vAlign w:val="bottom"/>
            <w:hideMark/>
          </w:tcPr>
          <w:p w14:paraId="512AA0B1"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−11.5</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6B638502"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99.6</w:t>
            </w:r>
          </w:p>
        </w:tc>
      </w:tr>
      <w:tr w:rsidR="00EC62A2" w14:paraId="192EC645"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6B4BA01B"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Germany</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4F4A195A"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11.4</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68BB811D"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164,005.3</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7C551331"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140,668.3</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66CE40F3"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−14.2</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119E97C0"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23.6</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0C3062B1"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130,249.2</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3746CDC8"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190,701.3</w:t>
            </w:r>
          </w:p>
        </w:tc>
        <w:tc>
          <w:tcPr>
            <w:tcW w:w="806" w:type="dxa"/>
            <w:tcBorders>
              <w:top w:val="nil"/>
              <w:left w:val="nil"/>
              <w:bottom w:val="single" w:sz="4" w:space="0" w:color="FFFFFF" w:themeColor="background1"/>
              <w:right w:val="nil"/>
            </w:tcBorders>
            <w:shd w:val="clear" w:color="auto" w:fill="auto"/>
            <w:noWrap/>
            <w:vAlign w:val="bottom"/>
            <w:hideMark/>
          </w:tcPr>
          <w:p w14:paraId="32515550"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46.4</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7542A7DD"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135.6</w:t>
            </w:r>
          </w:p>
        </w:tc>
      </w:tr>
      <w:tr w:rsidR="00EC62A2" w14:paraId="00BF7913"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3278F7A5"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Italy</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65C13FB8"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5.9</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41B65A53"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77,703.0</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0BB3EBE3"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72,650.6</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106D0CC1"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−6.5</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428EFED0"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2.0</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02D23BF8"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23,902.3</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56535ABB"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16,516.9</w:t>
            </w:r>
          </w:p>
        </w:tc>
        <w:tc>
          <w:tcPr>
            <w:tcW w:w="806" w:type="dxa"/>
            <w:tcBorders>
              <w:top w:val="nil"/>
              <w:left w:val="nil"/>
              <w:bottom w:val="single" w:sz="4" w:space="0" w:color="FFFFFF" w:themeColor="background1"/>
              <w:right w:val="nil"/>
            </w:tcBorders>
            <w:shd w:val="clear" w:color="auto" w:fill="auto"/>
            <w:noWrap/>
            <w:vAlign w:val="bottom"/>
            <w:hideMark/>
          </w:tcPr>
          <w:p w14:paraId="56CC9645"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−30.9</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01ADB9D9"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22.7</w:t>
            </w:r>
          </w:p>
        </w:tc>
      </w:tr>
      <w:tr w:rsidR="00EC62A2" w14:paraId="0445303D"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4C948D12"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Ireland</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79F4BABB"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0.1</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3CAC84CE"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1,532.3</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416FA9D4"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689.8</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73D2FF6E"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−55.0</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009E21DD"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1.4</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4D85DB59"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10,100.2</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233CCACA"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11,573.5</w:t>
            </w:r>
          </w:p>
        </w:tc>
        <w:tc>
          <w:tcPr>
            <w:tcW w:w="806" w:type="dxa"/>
            <w:tcBorders>
              <w:top w:val="nil"/>
              <w:left w:val="nil"/>
              <w:bottom w:val="single" w:sz="4" w:space="0" w:color="FFFFFF" w:themeColor="background1"/>
              <w:right w:val="nil"/>
            </w:tcBorders>
            <w:shd w:val="clear" w:color="auto" w:fill="auto"/>
            <w:noWrap/>
            <w:vAlign w:val="bottom"/>
            <w:hideMark/>
          </w:tcPr>
          <w:p w14:paraId="6E3C6412"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14.6</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1DD80BB0"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1,677.8</w:t>
            </w:r>
          </w:p>
        </w:tc>
      </w:tr>
      <w:tr w:rsidR="00EC62A2" w14:paraId="40E7112F"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6D584AB5"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Denmark</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6F36E495"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3.9</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27EC1873"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27,535.9</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2772B20B"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47,968.8</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762527A9"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74.2</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0A6F6C2B"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0.3</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6F956524"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3,010.4</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515606C5"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2,203.0</w:t>
            </w:r>
          </w:p>
        </w:tc>
        <w:tc>
          <w:tcPr>
            <w:tcW w:w="806" w:type="dxa"/>
            <w:tcBorders>
              <w:top w:val="nil"/>
              <w:left w:val="nil"/>
              <w:bottom w:val="single" w:sz="4" w:space="0" w:color="FFFFFF" w:themeColor="background1"/>
              <w:right w:val="nil"/>
            </w:tcBorders>
            <w:shd w:val="clear" w:color="auto" w:fill="auto"/>
            <w:noWrap/>
            <w:vAlign w:val="bottom"/>
            <w:hideMark/>
          </w:tcPr>
          <w:p w14:paraId="6C4E9499"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−26.8</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1DA7940A"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4.6</w:t>
            </w:r>
          </w:p>
        </w:tc>
      </w:tr>
      <w:tr w:rsidR="00EC62A2" w14:paraId="7209FD57"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7B8B11D6"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Greece</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21382FD0"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0.0</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038EF5CA"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123.3</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1E77F4D7"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33.6</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7AF8A741"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−72.7</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30356FEF"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0.2</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0D13FF77"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2,234.6</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533C3153"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1,982.0</w:t>
            </w:r>
          </w:p>
        </w:tc>
        <w:tc>
          <w:tcPr>
            <w:tcW w:w="806" w:type="dxa"/>
            <w:tcBorders>
              <w:top w:val="nil"/>
              <w:left w:val="nil"/>
              <w:bottom w:val="single" w:sz="4" w:space="0" w:color="FFFFFF" w:themeColor="background1"/>
              <w:right w:val="nil"/>
            </w:tcBorders>
            <w:shd w:val="clear" w:color="auto" w:fill="auto"/>
            <w:noWrap/>
            <w:vAlign w:val="bottom"/>
            <w:hideMark/>
          </w:tcPr>
          <w:p w14:paraId="473D26BA"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−11.3</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100384CA"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5,892.7</w:t>
            </w:r>
          </w:p>
        </w:tc>
      </w:tr>
      <w:tr w:rsidR="00EC62A2" w14:paraId="354D9DF7"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0448E925"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Portugal</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7C24F1B3"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0.4</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30596840"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4,628.5</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71011B6A"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4,914.5</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5285AC3D"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6.2</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6D2D8E61"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0.5</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07BC0080"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5,510.0</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526BD949"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4,237.8</w:t>
            </w:r>
          </w:p>
        </w:tc>
        <w:tc>
          <w:tcPr>
            <w:tcW w:w="806" w:type="dxa"/>
            <w:tcBorders>
              <w:top w:val="nil"/>
              <w:left w:val="nil"/>
              <w:bottom w:val="single" w:sz="4" w:space="0" w:color="FFFFFF" w:themeColor="background1"/>
              <w:right w:val="nil"/>
            </w:tcBorders>
            <w:shd w:val="clear" w:color="auto" w:fill="auto"/>
            <w:noWrap/>
            <w:vAlign w:val="bottom"/>
            <w:hideMark/>
          </w:tcPr>
          <w:p w14:paraId="0E7B947F"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−23.1</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35FC90D9"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86.2</w:t>
            </w:r>
          </w:p>
        </w:tc>
      </w:tr>
      <w:tr w:rsidR="00EC62A2" w14:paraId="33186655"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7DB1CAFE"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Spain</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28C5704E"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0.9</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397227E5"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13,786.6</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6B714193"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10,613.0</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72ED85E2"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−23.0</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1D361515"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2.0</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3ED38259"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17,879.4</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533C6141"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16,279.3</w:t>
            </w:r>
          </w:p>
        </w:tc>
        <w:tc>
          <w:tcPr>
            <w:tcW w:w="806" w:type="dxa"/>
            <w:tcBorders>
              <w:top w:val="nil"/>
              <w:left w:val="nil"/>
              <w:bottom w:val="single" w:sz="4" w:space="0" w:color="FFFFFF" w:themeColor="background1"/>
              <w:right w:val="nil"/>
            </w:tcBorders>
            <w:shd w:val="clear" w:color="auto" w:fill="auto"/>
            <w:noWrap/>
            <w:vAlign w:val="bottom"/>
            <w:hideMark/>
          </w:tcPr>
          <w:p w14:paraId="4E6BDB0C"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−8.9</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1ABF2C6F"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153.4</w:t>
            </w:r>
          </w:p>
        </w:tc>
      </w:tr>
      <w:tr w:rsidR="00EC62A2" w14:paraId="34C8AF80"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4A1A93B5"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Luxembourg</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78A175DF"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0.0</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6533D429"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831.1</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105F1552"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278.2</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2AC197E6"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−66.5</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5FED135E"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1.4</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250CDB8F"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12,923.9</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794FD1B1"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11,507.0</w:t>
            </w:r>
          </w:p>
        </w:tc>
        <w:tc>
          <w:tcPr>
            <w:tcW w:w="806" w:type="dxa"/>
            <w:tcBorders>
              <w:top w:val="nil"/>
              <w:left w:val="nil"/>
              <w:bottom w:val="single" w:sz="4" w:space="0" w:color="FFFFFF" w:themeColor="background1"/>
              <w:right w:val="nil"/>
            </w:tcBorders>
            <w:shd w:val="clear" w:color="auto" w:fill="auto"/>
            <w:noWrap/>
            <w:vAlign w:val="bottom"/>
            <w:hideMark/>
          </w:tcPr>
          <w:p w14:paraId="062C5DDA"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−11.0</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6F19330F"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4,136.5</w:t>
            </w:r>
          </w:p>
        </w:tc>
      </w:tr>
      <w:tr w:rsidR="00EC62A2" w14:paraId="5BEAA955"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12018E74"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Ceuta</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60C2C085"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0.0</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2A6099FD"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0.0</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5700596C"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0.0</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43736E42"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 xml:space="preserve">– </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3E59B4A4"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0.0</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1273C92E"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16.2</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7EF995C4"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18.6</w:t>
            </w:r>
          </w:p>
        </w:tc>
        <w:tc>
          <w:tcPr>
            <w:tcW w:w="806" w:type="dxa"/>
            <w:tcBorders>
              <w:top w:val="nil"/>
              <w:left w:val="nil"/>
              <w:bottom w:val="single" w:sz="4" w:space="0" w:color="FFFFFF" w:themeColor="background1"/>
              <w:right w:val="nil"/>
            </w:tcBorders>
            <w:shd w:val="clear" w:color="auto" w:fill="auto"/>
            <w:noWrap/>
            <w:vAlign w:val="bottom"/>
            <w:hideMark/>
          </w:tcPr>
          <w:p w14:paraId="47F378EA"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15.3</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62727475"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 xml:space="preserve">– </w:t>
            </w:r>
          </w:p>
        </w:tc>
      </w:tr>
      <w:tr w:rsidR="00EC62A2" w14:paraId="45E310E3"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546F133F"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Sweden</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44422AE8"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0.9</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3974EA03"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15,395.9</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554245DD"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11,179.7</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6A7F01C7"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−27.4</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25742EF9"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0.4</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753ACDB6"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3,852.5</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6BF2B55A"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3,197.0</w:t>
            </w:r>
          </w:p>
        </w:tc>
        <w:tc>
          <w:tcPr>
            <w:tcW w:w="806" w:type="dxa"/>
            <w:tcBorders>
              <w:top w:val="nil"/>
              <w:left w:val="nil"/>
              <w:bottom w:val="single" w:sz="4" w:space="0" w:color="FFFFFF" w:themeColor="background1"/>
              <w:right w:val="nil"/>
            </w:tcBorders>
            <w:shd w:val="clear" w:color="auto" w:fill="auto"/>
            <w:noWrap/>
            <w:vAlign w:val="bottom"/>
            <w:hideMark/>
          </w:tcPr>
          <w:p w14:paraId="59242FCF"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−17.0</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5C4B0A9D"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28.6</w:t>
            </w:r>
          </w:p>
        </w:tc>
      </w:tr>
      <w:tr w:rsidR="00EC62A2" w14:paraId="57EC040E"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330BA4DD"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Finland</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60C0884D"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0.4</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5539DFE4"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5,072.1</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284F1994"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4,890.0</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7D94FDE1"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−3.6</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57DCAD01"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0.1</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47E5DA67"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768.1</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57F86F7E"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582.5</w:t>
            </w:r>
          </w:p>
        </w:tc>
        <w:tc>
          <w:tcPr>
            <w:tcW w:w="806" w:type="dxa"/>
            <w:tcBorders>
              <w:top w:val="nil"/>
              <w:left w:val="nil"/>
              <w:bottom w:val="single" w:sz="4" w:space="0" w:color="FFFFFF" w:themeColor="background1"/>
              <w:right w:val="nil"/>
            </w:tcBorders>
            <w:shd w:val="clear" w:color="auto" w:fill="auto"/>
            <w:noWrap/>
            <w:vAlign w:val="bottom"/>
            <w:hideMark/>
          </w:tcPr>
          <w:p w14:paraId="70DA18F3"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−24.2</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79FC1CDB"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11.9</w:t>
            </w:r>
          </w:p>
        </w:tc>
      </w:tr>
      <w:tr w:rsidR="00EC62A2" w14:paraId="071C7E1E"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146468BA"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Austria</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6B1260AA"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0.3</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3B134355"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3,339.5</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6D0AEB2B"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3,147.2</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56ECC1E9"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−5.8</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53D7FA0F"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0.8</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1FA0F94D"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6,822.0</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7D88CF5E"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6,311.9</w:t>
            </w:r>
          </w:p>
        </w:tc>
        <w:tc>
          <w:tcPr>
            <w:tcW w:w="806" w:type="dxa"/>
            <w:tcBorders>
              <w:top w:val="nil"/>
              <w:left w:val="nil"/>
              <w:bottom w:val="single" w:sz="4" w:space="0" w:color="FFFFFF" w:themeColor="background1"/>
              <w:right w:val="nil"/>
            </w:tcBorders>
            <w:shd w:val="clear" w:color="auto" w:fill="auto"/>
            <w:noWrap/>
            <w:vAlign w:val="bottom"/>
            <w:hideMark/>
          </w:tcPr>
          <w:p w14:paraId="04884589"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−7.5</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7AE039F6"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200.6</w:t>
            </w:r>
          </w:p>
        </w:tc>
      </w:tr>
      <w:tr w:rsidR="00EC62A2" w14:paraId="68B03E72"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6B1F002A"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Malta</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1F563F19"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0.0</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4ABF7507"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2.1</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2DF96A4E"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83.6</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5470073B"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3,913.9</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68D2348E"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0.1</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6337086C"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361.7</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514AF319"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496.8</w:t>
            </w:r>
          </w:p>
        </w:tc>
        <w:tc>
          <w:tcPr>
            <w:tcW w:w="806" w:type="dxa"/>
            <w:tcBorders>
              <w:top w:val="nil"/>
              <w:left w:val="nil"/>
              <w:bottom w:val="single" w:sz="4" w:space="0" w:color="FFFFFF" w:themeColor="background1"/>
              <w:right w:val="nil"/>
            </w:tcBorders>
            <w:shd w:val="clear" w:color="auto" w:fill="auto"/>
            <w:noWrap/>
            <w:vAlign w:val="bottom"/>
            <w:hideMark/>
          </w:tcPr>
          <w:p w14:paraId="435CD415"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37.4</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5B4106D7"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594.4</w:t>
            </w:r>
          </w:p>
        </w:tc>
      </w:tr>
      <w:tr w:rsidR="00EC62A2" w14:paraId="5949645A"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4C587B2C"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Estonia</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797A2611"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0.1</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5E134745"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2,060.5</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24A20DE4"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1,127.4</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77FBA5E9"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−45.3</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0C18E3CB"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0.1</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31E797DF"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544.9</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1CBA1789"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409.3</w:t>
            </w:r>
          </w:p>
        </w:tc>
        <w:tc>
          <w:tcPr>
            <w:tcW w:w="806" w:type="dxa"/>
            <w:tcBorders>
              <w:top w:val="nil"/>
              <w:left w:val="nil"/>
              <w:bottom w:val="single" w:sz="4" w:space="0" w:color="FFFFFF" w:themeColor="background1"/>
              <w:right w:val="nil"/>
            </w:tcBorders>
            <w:shd w:val="clear" w:color="auto" w:fill="auto"/>
            <w:noWrap/>
            <w:vAlign w:val="bottom"/>
            <w:hideMark/>
          </w:tcPr>
          <w:p w14:paraId="2A25AE39"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−24.9</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0299972E"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36.3</w:t>
            </w:r>
          </w:p>
        </w:tc>
      </w:tr>
      <w:tr w:rsidR="00EC62A2" w14:paraId="4A56601C"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6F9BA3B7"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Latvia</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40E49E37"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0.0</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1D966BD7"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387.1</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2EB3D200"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252.9</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438C1AFF"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−34.6</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70F49009"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0.0</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71469C95"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134.3</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3CF1EEF3"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190.8</w:t>
            </w:r>
          </w:p>
        </w:tc>
        <w:tc>
          <w:tcPr>
            <w:tcW w:w="806" w:type="dxa"/>
            <w:tcBorders>
              <w:top w:val="nil"/>
              <w:left w:val="nil"/>
              <w:bottom w:val="single" w:sz="4" w:space="0" w:color="FFFFFF" w:themeColor="background1"/>
              <w:right w:val="nil"/>
            </w:tcBorders>
            <w:shd w:val="clear" w:color="auto" w:fill="auto"/>
            <w:noWrap/>
            <w:vAlign w:val="bottom"/>
            <w:hideMark/>
          </w:tcPr>
          <w:p w14:paraId="2868ACA2"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42.0</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52B379D9"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75.4</w:t>
            </w:r>
          </w:p>
        </w:tc>
      </w:tr>
      <w:tr w:rsidR="00EC62A2" w14:paraId="431986CF"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6EB1E9B0"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Lithuania</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3A5EE4C5"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1.6</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657B3FB1"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14,016.1</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4447593E"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20,168.7</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0037879A"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43.9</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6D59DDE2"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0.6</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2BA2171F"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2,640.8</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045DD768"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5,117.6</w:t>
            </w:r>
          </w:p>
        </w:tc>
        <w:tc>
          <w:tcPr>
            <w:tcW w:w="806" w:type="dxa"/>
            <w:tcBorders>
              <w:top w:val="nil"/>
              <w:left w:val="nil"/>
              <w:bottom w:val="single" w:sz="4" w:space="0" w:color="FFFFFF" w:themeColor="background1"/>
              <w:right w:val="nil"/>
            </w:tcBorders>
            <w:shd w:val="clear" w:color="auto" w:fill="auto"/>
            <w:noWrap/>
            <w:vAlign w:val="bottom"/>
            <w:hideMark/>
          </w:tcPr>
          <w:p w14:paraId="1F1D6DC6"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93.8</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47091939"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25.4</w:t>
            </w:r>
          </w:p>
        </w:tc>
      </w:tr>
      <w:tr w:rsidR="00EC62A2" w14:paraId="4A2F2EAA"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45558AA4"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Poland</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7DB48E71"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8.5</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12C96F3A"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104,329.9</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54BCC662"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105,321.2</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69136DEC"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1.0</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296CEC26"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1.0</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52AC397B"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8,843.2</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34260F0F"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7,776.4</w:t>
            </w:r>
          </w:p>
        </w:tc>
        <w:tc>
          <w:tcPr>
            <w:tcW w:w="806" w:type="dxa"/>
            <w:tcBorders>
              <w:top w:val="nil"/>
              <w:left w:val="nil"/>
              <w:bottom w:val="single" w:sz="4" w:space="0" w:color="FFFFFF" w:themeColor="background1"/>
              <w:right w:val="nil"/>
            </w:tcBorders>
            <w:shd w:val="clear" w:color="auto" w:fill="auto"/>
            <w:noWrap/>
            <w:vAlign w:val="bottom"/>
            <w:hideMark/>
          </w:tcPr>
          <w:p w14:paraId="331C7117"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−12.1</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652B537F"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7.4</w:t>
            </w:r>
          </w:p>
        </w:tc>
      </w:tr>
      <w:tr w:rsidR="00EC62A2" w14:paraId="731B67D9"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0F1E0F72"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Czechia</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0F433A2B"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0.7</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211B4E7A"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8,008.7</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2F9E6368"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8,200.6</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6A585263"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2.4</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595D965A"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0.7</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765DD43B"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6,428.1</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08A3DDF6"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5,714.3</w:t>
            </w:r>
          </w:p>
        </w:tc>
        <w:tc>
          <w:tcPr>
            <w:tcW w:w="806" w:type="dxa"/>
            <w:tcBorders>
              <w:top w:val="nil"/>
              <w:left w:val="nil"/>
              <w:bottom w:val="single" w:sz="4" w:space="0" w:color="FFFFFF" w:themeColor="background1"/>
              <w:right w:val="nil"/>
            </w:tcBorders>
            <w:shd w:val="clear" w:color="auto" w:fill="auto"/>
            <w:noWrap/>
            <w:vAlign w:val="bottom"/>
            <w:hideMark/>
          </w:tcPr>
          <w:p w14:paraId="1186EA08"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−11.1</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7FCCE934"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69.7</w:t>
            </w:r>
          </w:p>
        </w:tc>
      </w:tr>
      <w:tr w:rsidR="00EC62A2" w14:paraId="10E6B73A"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7D6BE8B0"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Slovakia</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2FCAA7B1"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0.2</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0C8FFF9B"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950.5</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0B4D89AB"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2,139.3</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38A72CFA"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125.1</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00755415"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0.1</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30275444"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836.8</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6FD875BD"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764.5</w:t>
            </w:r>
          </w:p>
        </w:tc>
        <w:tc>
          <w:tcPr>
            <w:tcW w:w="806" w:type="dxa"/>
            <w:tcBorders>
              <w:top w:val="nil"/>
              <w:left w:val="nil"/>
              <w:bottom w:val="single" w:sz="4" w:space="0" w:color="FFFFFF" w:themeColor="background1"/>
              <w:right w:val="nil"/>
            </w:tcBorders>
            <w:shd w:val="clear" w:color="auto" w:fill="auto"/>
            <w:noWrap/>
            <w:vAlign w:val="bottom"/>
            <w:hideMark/>
          </w:tcPr>
          <w:p w14:paraId="5E29D27A"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−8.6</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057C6977"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35.7</w:t>
            </w:r>
          </w:p>
        </w:tc>
      </w:tr>
      <w:tr w:rsidR="00EC62A2" w14:paraId="1E5960EB"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7E0FD9FF"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Hungary</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412B191A"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0.7</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2D6ED1E3"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8,702.5</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0F76CA55"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8,342.5</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5B3CE2B0"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−4.1</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49D1628A"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0.1</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00BE117E"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720.2</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16B1BB95"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860.9</w:t>
            </w:r>
          </w:p>
        </w:tc>
        <w:tc>
          <w:tcPr>
            <w:tcW w:w="806" w:type="dxa"/>
            <w:tcBorders>
              <w:top w:val="nil"/>
              <w:left w:val="nil"/>
              <w:bottom w:val="single" w:sz="4" w:space="0" w:color="FFFFFF" w:themeColor="background1"/>
              <w:right w:val="nil"/>
            </w:tcBorders>
            <w:shd w:val="clear" w:color="auto" w:fill="auto"/>
            <w:noWrap/>
            <w:vAlign w:val="bottom"/>
            <w:hideMark/>
          </w:tcPr>
          <w:p w14:paraId="3B760E6F"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19.5</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3B148C5B"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10.3</w:t>
            </w:r>
          </w:p>
        </w:tc>
      </w:tr>
      <w:tr w:rsidR="00EC62A2" w14:paraId="32F71B8B"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65E7D363"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Romania</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09A569C4"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2.1</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29D72DCA"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27,371.5</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3F0470F4"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25,487.1</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286E20ED"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−6.9</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23F1E73C"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0.2</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1240B90C"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1,253.6</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5807C970"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1,316.3</w:t>
            </w:r>
          </w:p>
        </w:tc>
        <w:tc>
          <w:tcPr>
            <w:tcW w:w="806" w:type="dxa"/>
            <w:tcBorders>
              <w:top w:val="nil"/>
              <w:left w:val="nil"/>
              <w:bottom w:val="single" w:sz="4" w:space="0" w:color="FFFFFF" w:themeColor="background1"/>
              <w:right w:val="nil"/>
            </w:tcBorders>
            <w:shd w:val="clear" w:color="auto" w:fill="auto"/>
            <w:noWrap/>
            <w:vAlign w:val="bottom"/>
            <w:hideMark/>
          </w:tcPr>
          <w:p w14:paraId="3DC7C3DA"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5.0</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33B146D5"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5.2</w:t>
            </w:r>
          </w:p>
        </w:tc>
      </w:tr>
      <w:tr w:rsidR="00EC62A2" w14:paraId="0E3F8231"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4CE865E2"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Bulgaria</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0A996666"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0.2</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39F9FB9F"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2,978.0</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4636CED0"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2,947.9</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3FA8E96A"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−1.0</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4E0F57E8"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0.0</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3DAC354D"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2,066.1</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12859288"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319.9</w:t>
            </w:r>
          </w:p>
        </w:tc>
        <w:tc>
          <w:tcPr>
            <w:tcW w:w="806" w:type="dxa"/>
            <w:tcBorders>
              <w:top w:val="nil"/>
              <w:left w:val="nil"/>
              <w:bottom w:val="single" w:sz="4" w:space="0" w:color="FFFFFF" w:themeColor="background1"/>
              <w:right w:val="nil"/>
            </w:tcBorders>
            <w:shd w:val="clear" w:color="auto" w:fill="auto"/>
            <w:noWrap/>
            <w:vAlign w:val="bottom"/>
            <w:hideMark/>
          </w:tcPr>
          <w:p w14:paraId="295330CB"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−84.5</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778396DD"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10.9</w:t>
            </w:r>
          </w:p>
        </w:tc>
      </w:tr>
      <w:tr w:rsidR="00EC62A2" w14:paraId="6523CF6D"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3572467A"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Slovenia</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7C068464"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0.0</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2111FADF"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640.8</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49D2114E"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309.3</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1AEEC471"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−51.7</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54F2D421"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0.0</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02C0CEDB"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361.8</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39CC6B5F"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391.9</w:t>
            </w:r>
          </w:p>
        </w:tc>
        <w:tc>
          <w:tcPr>
            <w:tcW w:w="806" w:type="dxa"/>
            <w:tcBorders>
              <w:top w:val="nil"/>
              <w:left w:val="nil"/>
              <w:bottom w:val="single" w:sz="4" w:space="0" w:color="FFFFFF" w:themeColor="background1"/>
              <w:right w:val="nil"/>
            </w:tcBorders>
            <w:shd w:val="clear" w:color="auto" w:fill="auto"/>
            <w:noWrap/>
            <w:vAlign w:val="bottom"/>
            <w:hideMark/>
          </w:tcPr>
          <w:p w14:paraId="723FDDBF"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8.3</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172AEF1C"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126.7</w:t>
            </w:r>
          </w:p>
        </w:tc>
      </w:tr>
      <w:tr w:rsidR="00EC62A2" w14:paraId="575705CB"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29D962AA"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Croatia</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13AAD3F9"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0.1</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1B92C47C"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949.1</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68889865"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906.6</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5B4B423E"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−4.5</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71391F69"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0.1</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3776E5A6"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477.5</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6754D75C"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520.2</w:t>
            </w:r>
          </w:p>
        </w:tc>
        <w:tc>
          <w:tcPr>
            <w:tcW w:w="806" w:type="dxa"/>
            <w:tcBorders>
              <w:top w:val="nil"/>
              <w:left w:val="nil"/>
              <w:bottom w:val="single" w:sz="4" w:space="0" w:color="FFFFFF" w:themeColor="background1"/>
              <w:right w:val="nil"/>
            </w:tcBorders>
            <w:shd w:val="clear" w:color="auto" w:fill="auto"/>
            <w:noWrap/>
            <w:vAlign w:val="bottom"/>
            <w:hideMark/>
          </w:tcPr>
          <w:p w14:paraId="3CD6DE41"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8.9</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1A194ACB"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57.4</w:t>
            </w:r>
          </w:p>
        </w:tc>
      </w:tr>
      <w:tr w:rsidR="00EC62A2" w14:paraId="77336CBE"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4086117E"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Cyprus</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7259D2F5"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0.0</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7AFEE614"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0.1</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1FCD8ED2"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8.1</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2BECC404" w14:textId="77777777" w:rsidR="00EC62A2" w:rsidRPr="0036109B" w:rsidRDefault="00EC62A2" w:rsidP="00CF7FFA">
            <w:pPr>
              <w:spacing w:after="0" w:line="240" w:lineRule="auto"/>
              <w:jc w:val="right"/>
              <w:rPr>
                <w:rFonts w:eastAsia="Times New Roman"/>
                <w:color w:val="000000"/>
                <w:sz w:val="14"/>
                <w:szCs w:val="14"/>
                <w:lang w:eastAsia="nl-BE"/>
              </w:rPr>
            </w:pPr>
            <w:r w:rsidRPr="37382CDB">
              <w:rPr>
                <w:rFonts w:eastAsia="Times New Roman"/>
                <w:color w:val="000000" w:themeColor="text1"/>
                <w:sz w:val="14"/>
                <w:szCs w:val="14"/>
                <w:lang w:val="en" w:eastAsia="nl-BE"/>
              </w:rPr>
              <w:t>14,432.1</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352889FF"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0.1</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6F42CC7B"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2,246.0</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70AB8A82"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414.0</w:t>
            </w:r>
          </w:p>
        </w:tc>
        <w:tc>
          <w:tcPr>
            <w:tcW w:w="806" w:type="dxa"/>
            <w:tcBorders>
              <w:top w:val="nil"/>
              <w:left w:val="nil"/>
              <w:bottom w:val="single" w:sz="4" w:space="0" w:color="FFFFFF" w:themeColor="background1"/>
              <w:right w:val="nil"/>
            </w:tcBorders>
            <w:shd w:val="clear" w:color="auto" w:fill="auto"/>
            <w:noWrap/>
            <w:vAlign w:val="bottom"/>
            <w:hideMark/>
          </w:tcPr>
          <w:p w14:paraId="7FED98EE"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−81.6</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5910DE77"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5,087.0</w:t>
            </w:r>
          </w:p>
        </w:tc>
      </w:tr>
      <w:tr w:rsidR="00EC62A2" w14:paraId="0FA04E2A" w14:textId="77777777" w:rsidTr="00CF7FFA">
        <w:tc>
          <w:tcPr>
            <w:tcW w:w="1838" w:type="dxa"/>
            <w:tcBorders>
              <w:top w:val="single" w:sz="4" w:space="0" w:color="auto"/>
              <w:left w:val="single" w:sz="4" w:space="0" w:color="auto"/>
              <w:bottom w:val="single" w:sz="4" w:space="0" w:color="auto"/>
              <w:right w:val="nil"/>
            </w:tcBorders>
            <w:shd w:val="clear" w:color="auto" w:fill="D9D9D9" w:themeFill="background1" w:themeFillShade="D9"/>
            <w:vAlign w:val="bottom"/>
            <w:hideMark/>
          </w:tcPr>
          <w:p w14:paraId="0ADFBC59" w14:textId="77777777" w:rsidR="00EC62A2" w:rsidRPr="0036109B" w:rsidRDefault="00EC62A2" w:rsidP="00CF7FFA">
            <w:pPr>
              <w:spacing w:after="0" w:line="240" w:lineRule="auto"/>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United Kingdom</w:t>
            </w:r>
          </w:p>
        </w:tc>
        <w:tc>
          <w:tcPr>
            <w:tcW w:w="805" w:type="dxa"/>
            <w:tcBorders>
              <w:top w:val="single" w:sz="4" w:space="0" w:color="auto"/>
              <w:left w:val="single" w:sz="4" w:space="0" w:color="auto"/>
              <w:bottom w:val="single" w:sz="4" w:space="0" w:color="auto"/>
              <w:right w:val="single" w:sz="4" w:space="0" w:color="FFFFFF" w:themeColor="background1"/>
            </w:tcBorders>
            <w:shd w:val="clear" w:color="auto" w:fill="D9D9D9" w:themeFill="background1" w:themeFillShade="D9"/>
            <w:vAlign w:val="bottom"/>
            <w:hideMark/>
          </w:tcPr>
          <w:p w14:paraId="4449579B"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0.7</w:t>
            </w:r>
          </w:p>
        </w:tc>
        <w:tc>
          <w:tcPr>
            <w:tcW w:w="896" w:type="dxa"/>
            <w:tcBorders>
              <w:top w:val="single" w:sz="4" w:space="0" w:color="auto"/>
              <w:left w:val="nil"/>
              <w:bottom w:val="single" w:sz="4" w:space="0" w:color="auto"/>
              <w:right w:val="single" w:sz="4" w:space="0" w:color="FFFFFF" w:themeColor="background1"/>
            </w:tcBorders>
            <w:shd w:val="clear" w:color="auto" w:fill="D9D9D9" w:themeFill="background1" w:themeFillShade="D9"/>
            <w:vAlign w:val="bottom"/>
            <w:hideMark/>
          </w:tcPr>
          <w:p w14:paraId="4CB2B4C4"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8,461.6</w:t>
            </w:r>
          </w:p>
        </w:tc>
        <w:tc>
          <w:tcPr>
            <w:tcW w:w="992" w:type="dxa"/>
            <w:tcBorders>
              <w:top w:val="single" w:sz="4" w:space="0" w:color="auto"/>
              <w:left w:val="nil"/>
              <w:bottom w:val="single" w:sz="4" w:space="0" w:color="auto"/>
              <w:right w:val="single" w:sz="4" w:space="0" w:color="FFFFFF" w:themeColor="background1"/>
            </w:tcBorders>
            <w:shd w:val="clear" w:color="auto" w:fill="D9D9D9" w:themeFill="background1" w:themeFillShade="D9"/>
            <w:vAlign w:val="bottom"/>
            <w:hideMark/>
          </w:tcPr>
          <w:p w14:paraId="7ECDACC6"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8,634.0</w:t>
            </w:r>
          </w:p>
        </w:tc>
        <w:tc>
          <w:tcPr>
            <w:tcW w:w="73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36A2583"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2.0</w:t>
            </w:r>
          </w:p>
        </w:tc>
        <w:tc>
          <w:tcPr>
            <w:tcW w:w="638" w:type="dxa"/>
            <w:tcBorders>
              <w:top w:val="single" w:sz="4" w:space="0" w:color="auto"/>
              <w:left w:val="nil"/>
              <w:bottom w:val="single" w:sz="4" w:space="0" w:color="auto"/>
              <w:right w:val="single" w:sz="4" w:space="0" w:color="FFFFFF" w:themeColor="background1"/>
            </w:tcBorders>
            <w:shd w:val="clear" w:color="auto" w:fill="D9D9D9" w:themeFill="background1" w:themeFillShade="D9"/>
            <w:noWrap/>
            <w:vAlign w:val="bottom"/>
            <w:hideMark/>
          </w:tcPr>
          <w:p w14:paraId="0A2DD68E"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2.9</w:t>
            </w:r>
          </w:p>
        </w:tc>
        <w:tc>
          <w:tcPr>
            <w:tcW w:w="805" w:type="dxa"/>
            <w:tcBorders>
              <w:top w:val="single" w:sz="4" w:space="0" w:color="auto"/>
              <w:left w:val="nil"/>
              <w:bottom w:val="single" w:sz="4" w:space="0" w:color="auto"/>
              <w:right w:val="single" w:sz="4" w:space="0" w:color="FFFFFF" w:themeColor="background1"/>
            </w:tcBorders>
            <w:shd w:val="clear" w:color="auto" w:fill="D9D9D9" w:themeFill="background1" w:themeFillShade="D9"/>
            <w:noWrap/>
            <w:vAlign w:val="bottom"/>
            <w:hideMark/>
          </w:tcPr>
          <w:p w14:paraId="1B8CAF66"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19,146.2</w:t>
            </w:r>
          </w:p>
        </w:tc>
        <w:tc>
          <w:tcPr>
            <w:tcW w:w="806" w:type="dxa"/>
            <w:tcBorders>
              <w:top w:val="single" w:sz="4" w:space="0" w:color="auto"/>
              <w:left w:val="nil"/>
              <w:bottom w:val="single" w:sz="4" w:space="0" w:color="auto"/>
              <w:right w:val="single" w:sz="4" w:space="0" w:color="FFFFFF" w:themeColor="background1"/>
            </w:tcBorders>
            <w:shd w:val="clear" w:color="auto" w:fill="D9D9D9" w:themeFill="background1" w:themeFillShade="D9"/>
            <w:noWrap/>
            <w:vAlign w:val="bottom"/>
            <w:hideMark/>
          </w:tcPr>
          <w:p w14:paraId="7F319D2A"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23,764.1</w:t>
            </w:r>
          </w:p>
        </w:tc>
        <w:tc>
          <w:tcPr>
            <w:tcW w:w="806" w:type="dxa"/>
            <w:tcBorders>
              <w:top w:val="single" w:sz="4" w:space="0" w:color="auto"/>
              <w:left w:val="nil"/>
              <w:bottom w:val="single" w:sz="4" w:space="0" w:color="auto"/>
              <w:right w:val="nil"/>
            </w:tcBorders>
            <w:shd w:val="clear" w:color="auto" w:fill="D9D9D9" w:themeFill="background1" w:themeFillShade="D9"/>
            <w:noWrap/>
            <w:vAlign w:val="bottom"/>
            <w:hideMark/>
          </w:tcPr>
          <w:p w14:paraId="2D674E8B"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24.1</w:t>
            </w:r>
          </w:p>
        </w:tc>
        <w:tc>
          <w:tcPr>
            <w:tcW w:w="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F3CEEC1"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275.2</w:t>
            </w:r>
          </w:p>
        </w:tc>
      </w:tr>
      <w:tr w:rsidR="00EC62A2" w14:paraId="0BF8AA77"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13E3520A"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Norway</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12CF06A1"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0.0</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2B3DFC6C"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30.4</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04097BFA"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38.5</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7AE5D6E5"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26.8</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5E720E6B"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0.1</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58A00931"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896.1</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0E8D9357"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976.1</w:t>
            </w:r>
          </w:p>
        </w:tc>
        <w:tc>
          <w:tcPr>
            <w:tcW w:w="806" w:type="dxa"/>
            <w:tcBorders>
              <w:top w:val="nil"/>
              <w:left w:val="nil"/>
              <w:bottom w:val="single" w:sz="4" w:space="0" w:color="FFFFFF" w:themeColor="background1"/>
              <w:right w:val="nil"/>
            </w:tcBorders>
            <w:shd w:val="clear" w:color="auto" w:fill="auto"/>
            <w:noWrap/>
            <w:vAlign w:val="bottom"/>
            <w:hideMark/>
          </w:tcPr>
          <w:p w14:paraId="685A31B7"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8.9</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673233C3"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2,534.4</w:t>
            </w:r>
          </w:p>
        </w:tc>
      </w:tr>
      <w:tr w:rsidR="00EC62A2" w14:paraId="1D67A977"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5DB05CEA"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Switzerland</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51E95400"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0.1</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7F48596A"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1,062.9</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159B3A69"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639.3</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7F1C8E34"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−39.9</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05886CB6"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1.4</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5DBF337E"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11,084.4</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0B275D84"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10,930.3</w:t>
            </w:r>
          </w:p>
        </w:tc>
        <w:tc>
          <w:tcPr>
            <w:tcW w:w="806" w:type="dxa"/>
            <w:tcBorders>
              <w:top w:val="nil"/>
              <w:left w:val="nil"/>
              <w:bottom w:val="single" w:sz="4" w:space="0" w:color="FFFFFF" w:themeColor="background1"/>
              <w:right w:val="nil"/>
            </w:tcBorders>
            <w:shd w:val="clear" w:color="auto" w:fill="auto"/>
            <w:noWrap/>
            <w:vAlign w:val="bottom"/>
            <w:hideMark/>
          </w:tcPr>
          <w:p w14:paraId="003B4449"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−1.4</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7CB741E3"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1,709.7</w:t>
            </w:r>
          </w:p>
        </w:tc>
      </w:tr>
      <w:tr w:rsidR="00EC62A2" w14:paraId="48F9553F"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2CDCEFCE"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Turkey</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32E886CE"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3.8</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1D8865EE"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46,790.9</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14BB0DD1"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46,729.1</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670DC0CC"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−0.1</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15AA42F4"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0.1</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3FD7533F"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230.1</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42A1721A"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466.4</w:t>
            </w:r>
          </w:p>
        </w:tc>
        <w:tc>
          <w:tcPr>
            <w:tcW w:w="806" w:type="dxa"/>
            <w:tcBorders>
              <w:top w:val="nil"/>
              <w:left w:val="nil"/>
              <w:bottom w:val="single" w:sz="4" w:space="0" w:color="FFFFFF" w:themeColor="background1"/>
              <w:right w:val="nil"/>
            </w:tcBorders>
            <w:shd w:val="clear" w:color="auto" w:fill="auto"/>
            <w:noWrap/>
            <w:vAlign w:val="bottom"/>
            <w:hideMark/>
          </w:tcPr>
          <w:p w14:paraId="46A31D98"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102.7</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7AB33B5D"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1.0</w:t>
            </w:r>
          </w:p>
        </w:tc>
      </w:tr>
      <w:tr w:rsidR="00EC62A2" w14:paraId="46659323"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20483279"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Bosnia-Herzegovina</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0CC5049B"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0.2</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7D4E6E12"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2,060.8</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44E1987B"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2,108.0</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1DA38EE9"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2.3</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26AE4D86"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0.0</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07E0CF19"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13.0</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56759526"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27.0</w:t>
            </w:r>
          </w:p>
        </w:tc>
        <w:tc>
          <w:tcPr>
            <w:tcW w:w="806" w:type="dxa"/>
            <w:tcBorders>
              <w:top w:val="nil"/>
              <w:left w:val="nil"/>
              <w:bottom w:val="single" w:sz="4" w:space="0" w:color="FFFFFF" w:themeColor="background1"/>
              <w:right w:val="nil"/>
            </w:tcBorders>
            <w:shd w:val="clear" w:color="auto" w:fill="auto"/>
            <w:noWrap/>
            <w:vAlign w:val="bottom"/>
            <w:hideMark/>
          </w:tcPr>
          <w:p w14:paraId="77E7ACF1"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107.3</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0DE28719"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1.3</w:t>
            </w:r>
          </w:p>
        </w:tc>
      </w:tr>
      <w:tr w:rsidR="00EC62A2" w14:paraId="1D502165"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41CA8360"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Kosovo</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111ED5AA"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0.1</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66F7A1CA"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763.2</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4506A3B7"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825.3</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2AC37B73"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8.1</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2863A7B2"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0.0</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122524FE"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53.7</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3608E922"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49.9</w:t>
            </w:r>
          </w:p>
        </w:tc>
        <w:tc>
          <w:tcPr>
            <w:tcW w:w="806" w:type="dxa"/>
            <w:tcBorders>
              <w:top w:val="nil"/>
              <w:left w:val="nil"/>
              <w:bottom w:val="single" w:sz="4" w:space="0" w:color="FFFFFF" w:themeColor="background1"/>
              <w:right w:val="nil"/>
            </w:tcBorders>
            <w:shd w:val="clear" w:color="auto" w:fill="auto"/>
            <w:noWrap/>
            <w:vAlign w:val="bottom"/>
            <w:hideMark/>
          </w:tcPr>
          <w:p w14:paraId="0EE4946C"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−7.0</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721EA941"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6.0</w:t>
            </w:r>
          </w:p>
        </w:tc>
      </w:tr>
      <w:tr w:rsidR="00EC62A2" w14:paraId="43588588"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261DE00F"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Macedonia</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6329540C"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0.0</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438A3DD4"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727.3</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2972D651"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437.8</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3594B546"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−39.8</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24FAFBB9"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0.0</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4B97B203"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58.6</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1594F3B6"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54.5</w:t>
            </w:r>
          </w:p>
        </w:tc>
        <w:tc>
          <w:tcPr>
            <w:tcW w:w="806" w:type="dxa"/>
            <w:tcBorders>
              <w:top w:val="nil"/>
              <w:left w:val="nil"/>
              <w:bottom w:val="single" w:sz="4" w:space="0" w:color="FFFFFF" w:themeColor="background1"/>
              <w:right w:val="nil"/>
            </w:tcBorders>
            <w:shd w:val="clear" w:color="auto" w:fill="auto"/>
            <w:noWrap/>
            <w:vAlign w:val="bottom"/>
            <w:hideMark/>
          </w:tcPr>
          <w:p w14:paraId="0E563FB2"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−7.0</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1DD65A72"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12.4</w:t>
            </w:r>
          </w:p>
        </w:tc>
      </w:tr>
      <w:tr w:rsidR="00EC62A2" w14:paraId="18BC7DC4"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36077C23"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Serbia</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58321A5D"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0.7</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152A3ED9"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8,768.2</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10B9D53D"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8,230.2</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443646CC"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−6.1</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7146DE71"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0.0</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46D08931"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152.1</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492BE542"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213.5</w:t>
            </w:r>
          </w:p>
        </w:tc>
        <w:tc>
          <w:tcPr>
            <w:tcW w:w="806" w:type="dxa"/>
            <w:tcBorders>
              <w:top w:val="nil"/>
              <w:left w:val="nil"/>
              <w:bottom w:val="single" w:sz="4" w:space="0" w:color="FFFFFF" w:themeColor="background1"/>
              <w:right w:val="nil"/>
            </w:tcBorders>
            <w:shd w:val="clear" w:color="auto" w:fill="auto"/>
            <w:noWrap/>
            <w:vAlign w:val="bottom"/>
            <w:hideMark/>
          </w:tcPr>
          <w:p w14:paraId="3406E141"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40.4</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06FC5102"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2.6</w:t>
            </w:r>
          </w:p>
        </w:tc>
      </w:tr>
      <w:tr w:rsidR="00EC62A2" w14:paraId="61D2EDE3"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123178FC"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Albania</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0EFB188B"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0.0</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51E93A6D"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885.4</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7B734EB2"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336.9</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119F0079"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−62.0</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1BE1D489"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0.0</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41A3568C"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7.4</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323C1D57"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8.6</w:t>
            </w:r>
          </w:p>
        </w:tc>
        <w:tc>
          <w:tcPr>
            <w:tcW w:w="806" w:type="dxa"/>
            <w:tcBorders>
              <w:top w:val="nil"/>
              <w:left w:val="nil"/>
              <w:bottom w:val="single" w:sz="4" w:space="0" w:color="FFFFFF" w:themeColor="background1"/>
              <w:right w:val="nil"/>
            </w:tcBorders>
            <w:shd w:val="clear" w:color="auto" w:fill="auto"/>
            <w:noWrap/>
            <w:vAlign w:val="bottom"/>
            <w:hideMark/>
          </w:tcPr>
          <w:p w14:paraId="473E5C56"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16.6</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3E691EE4"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2.6</w:t>
            </w:r>
          </w:p>
        </w:tc>
      </w:tr>
      <w:tr w:rsidR="00EC62A2" w14:paraId="052077EA"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73FD0E3B"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Ukraine</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4E17D56F"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0.9</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0363E1AA"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9,947.2</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29D4DE2C"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10,996.4</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665C064A"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10.5</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736A2995"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0.0</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4ACA3E20"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150.6</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4BBE3B59"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85.1</w:t>
            </w:r>
          </w:p>
        </w:tc>
        <w:tc>
          <w:tcPr>
            <w:tcW w:w="806" w:type="dxa"/>
            <w:tcBorders>
              <w:top w:val="nil"/>
              <w:left w:val="nil"/>
              <w:bottom w:val="single" w:sz="4" w:space="0" w:color="FFFFFF" w:themeColor="background1"/>
              <w:right w:val="nil"/>
            </w:tcBorders>
            <w:shd w:val="clear" w:color="auto" w:fill="auto"/>
            <w:noWrap/>
            <w:vAlign w:val="bottom"/>
            <w:hideMark/>
          </w:tcPr>
          <w:p w14:paraId="5BF7AA7C"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−43.5</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47543921"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0.8</w:t>
            </w:r>
          </w:p>
        </w:tc>
      </w:tr>
      <w:tr w:rsidR="00EC62A2" w14:paraId="7F19613C"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49A50614" w14:textId="77777777" w:rsidR="00EC62A2" w:rsidRPr="0036109B" w:rsidRDefault="00EC62A2" w:rsidP="00CF7FFA">
            <w:pPr>
              <w:spacing w:after="0" w:line="240" w:lineRule="auto"/>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Belarus</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5AE6FE56"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0.1</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6AB8179C"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1,006.3</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336EAADE"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1,071.0</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379DCF68"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6.4</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3C2A8A92"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0.0</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4712C8F2"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0.4</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36B3D7D0"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0.7</w:t>
            </w:r>
          </w:p>
        </w:tc>
        <w:tc>
          <w:tcPr>
            <w:tcW w:w="806" w:type="dxa"/>
            <w:tcBorders>
              <w:top w:val="nil"/>
              <w:left w:val="nil"/>
              <w:bottom w:val="single" w:sz="4" w:space="0" w:color="FFFFFF" w:themeColor="background1"/>
              <w:right w:val="nil"/>
            </w:tcBorders>
            <w:shd w:val="clear" w:color="auto" w:fill="auto"/>
            <w:noWrap/>
            <w:vAlign w:val="bottom"/>
            <w:hideMark/>
          </w:tcPr>
          <w:p w14:paraId="2C6B0F9E"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51.7</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2242FE10" w14:textId="77777777" w:rsidR="00EC62A2" w:rsidRPr="0036109B" w:rsidRDefault="00EC62A2" w:rsidP="00CF7FFA">
            <w:pPr>
              <w:spacing w:after="0" w:line="240" w:lineRule="auto"/>
              <w:jc w:val="right"/>
              <w:rPr>
                <w:rFonts w:eastAsia="Times New Roman" w:cstheme="minorHAnsi"/>
                <w:color w:val="000000"/>
                <w:sz w:val="14"/>
                <w:szCs w:val="14"/>
                <w:lang w:eastAsia="nl-BE"/>
              </w:rPr>
            </w:pPr>
            <w:r w:rsidRPr="0036109B">
              <w:rPr>
                <w:rFonts w:eastAsia="Times New Roman" w:cstheme="minorHAnsi"/>
                <w:color w:val="000000"/>
                <w:sz w:val="14"/>
                <w:szCs w:val="14"/>
                <w:lang w:val="en" w:eastAsia="nl-BE"/>
              </w:rPr>
              <w:t>0.1</w:t>
            </w:r>
          </w:p>
        </w:tc>
      </w:tr>
      <w:tr w:rsidR="00EC62A2" w14:paraId="514CF973" w14:textId="77777777" w:rsidTr="00CF7FFA">
        <w:tc>
          <w:tcPr>
            <w:tcW w:w="1838" w:type="dxa"/>
            <w:tcBorders>
              <w:top w:val="nil"/>
              <w:left w:val="single" w:sz="4" w:space="0" w:color="auto"/>
              <w:bottom w:val="single" w:sz="4" w:space="0" w:color="FFFFFF" w:themeColor="background1"/>
              <w:right w:val="nil"/>
            </w:tcBorders>
            <w:shd w:val="clear" w:color="auto" w:fill="BFBFBF" w:themeFill="background1" w:themeFillShade="BF"/>
            <w:vAlign w:val="bottom"/>
          </w:tcPr>
          <w:p w14:paraId="0BB42832" w14:textId="77777777" w:rsidR="00EC62A2" w:rsidRPr="00FF4AA5" w:rsidRDefault="00EC62A2" w:rsidP="00CF7FFA">
            <w:pPr>
              <w:spacing w:after="0" w:line="240" w:lineRule="auto"/>
              <w:rPr>
                <w:rFonts w:eastAsia="Times New Roman" w:cstheme="minorHAnsi"/>
                <w:b/>
                <w:bCs/>
                <w:color w:val="000000"/>
                <w:sz w:val="14"/>
                <w:szCs w:val="14"/>
                <w:lang w:eastAsia="nl-BE"/>
              </w:rPr>
            </w:pPr>
            <w:r w:rsidRPr="00FF4AA5">
              <w:rPr>
                <w:rFonts w:eastAsia="Times New Roman" w:cstheme="minorHAnsi"/>
                <w:b/>
                <w:bCs/>
                <w:color w:val="000000"/>
                <w:sz w:val="14"/>
                <w:szCs w:val="14"/>
                <w:lang w:val="en" w:eastAsia="nl-BE"/>
              </w:rPr>
              <w:t>Rest of Europe</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BFBFBF" w:themeFill="background1" w:themeFillShade="BF"/>
            <w:vAlign w:val="bottom"/>
          </w:tcPr>
          <w:p w14:paraId="1976C123" w14:textId="77777777" w:rsidR="00EC62A2" w:rsidRPr="00FF4AA5" w:rsidRDefault="00EC62A2" w:rsidP="00CF7FFA">
            <w:pPr>
              <w:spacing w:after="0" w:line="240" w:lineRule="auto"/>
              <w:jc w:val="right"/>
              <w:rPr>
                <w:rFonts w:eastAsia="Times New Roman"/>
                <w:b/>
                <w:bCs/>
                <w:color w:val="000000"/>
                <w:sz w:val="14"/>
                <w:szCs w:val="14"/>
                <w:lang w:eastAsia="nl-BE"/>
              </w:rPr>
            </w:pPr>
            <w:r w:rsidRPr="37382CDB">
              <w:rPr>
                <w:rFonts w:eastAsia="Times New Roman"/>
                <w:b/>
                <w:bCs/>
                <w:color w:val="000000" w:themeColor="text1"/>
                <w:sz w:val="14"/>
                <w:szCs w:val="14"/>
                <w:lang w:val="en" w:eastAsia="nl-BE"/>
              </w:rPr>
              <w:t>5.8</w:t>
            </w:r>
          </w:p>
        </w:tc>
        <w:tc>
          <w:tcPr>
            <w:tcW w:w="896" w:type="dxa"/>
            <w:tcBorders>
              <w:top w:val="nil"/>
              <w:left w:val="nil"/>
              <w:bottom w:val="single" w:sz="4" w:space="0" w:color="FFFFFF" w:themeColor="background1"/>
              <w:right w:val="single" w:sz="4" w:space="0" w:color="FFFFFF" w:themeColor="background1"/>
            </w:tcBorders>
            <w:shd w:val="clear" w:color="auto" w:fill="BFBFBF" w:themeFill="background1" w:themeFillShade="BF"/>
            <w:vAlign w:val="bottom"/>
          </w:tcPr>
          <w:p w14:paraId="7BDC0D50" w14:textId="77777777" w:rsidR="00EC62A2" w:rsidRPr="00FF4AA5" w:rsidRDefault="00EC62A2" w:rsidP="00CF7FFA">
            <w:pPr>
              <w:spacing w:after="0" w:line="240" w:lineRule="auto"/>
              <w:jc w:val="right"/>
              <w:rPr>
                <w:rFonts w:eastAsia="Times New Roman"/>
                <w:b/>
                <w:bCs/>
                <w:color w:val="000000"/>
                <w:sz w:val="14"/>
                <w:szCs w:val="14"/>
                <w:lang w:eastAsia="nl-BE"/>
              </w:rPr>
            </w:pPr>
            <w:r w:rsidRPr="37382CDB">
              <w:rPr>
                <w:rFonts w:eastAsia="Times New Roman"/>
                <w:b/>
                <w:bCs/>
                <w:color w:val="000000" w:themeColor="text1"/>
                <w:sz w:val="14"/>
                <w:szCs w:val="14"/>
                <w:lang w:val="en" w:eastAsia="nl-BE"/>
              </w:rPr>
              <w:t>72,233.1</w:t>
            </w:r>
          </w:p>
        </w:tc>
        <w:tc>
          <w:tcPr>
            <w:tcW w:w="992" w:type="dxa"/>
            <w:tcBorders>
              <w:top w:val="nil"/>
              <w:left w:val="nil"/>
              <w:bottom w:val="single" w:sz="4" w:space="0" w:color="FFFFFF" w:themeColor="background1"/>
              <w:right w:val="single" w:sz="4" w:space="0" w:color="FFFFFF" w:themeColor="background1"/>
            </w:tcBorders>
            <w:shd w:val="clear" w:color="auto" w:fill="BFBFBF" w:themeFill="background1" w:themeFillShade="BF"/>
            <w:vAlign w:val="bottom"/>
          </w:tcPr>
          <w:p w14:paraId="43F7BFB5" w14:textId="77777777" w:rsidR="00EC62A2" w:rsidRPr="00FF4AA5" w:rsidRDefault="00EC62A2" w:rsidP="00CF7FFA">
            <w:pPr>
              <w:spacing w:after="0" w:line="240" w:lineRule="auto"/>
              <w:jc w:val="right"/>
              <w:rPr>
                <w:rFonts w:eastAsia="Times New Roman"/>
                <w:b/>
                <w:bCs/>
                <w:color w:val="000000"/>
                <w:sz w:val="14"/>
                <w:szCs w:val="14"/>
                <w:lang w:eastAsia="nl-BE"/>
              </w:rPr>
            </w:pPr>
            <w:r w:rsidRPr="37382CDB">
              <w:rPr>
                <w:rFonts w:eastAsia="Times New Roman"/>
                <w:b/>
                <w:bCs/>
                <w:color w:val="000000" w:themeColor="text1"/>
                <w:sz w:val="14"/>
                <w:szCs w:val="14"/>
                <w:lang w:val="en" w:eastAsia="nl-BE"/>
              </w:rPr>
              <w:t>71,465.3</w:t>
            </w:r>
          </w:p>
        </w:tc>
        <w:tc>
          <w:tcPr>
            <w:tcW w:w="735" w:type="dxa"/>
            <w:tcBorders>
              <w:top w:val="nil"/>
              <w:left w:val="nil"/>
              <w:bottom w:val="single" w:sz="4" w:space="0" w:color="FFFFFF" w:themeColor="background1"/>
              <w:right w:val="single" w:sz="4" w:space="0" w:color="auto"/>
            </w:tcBorders>
            <w:shd w:val="clear" w:color="auto" w:fill="BFBFBF" w:themeFill="background1" w:themeFillShade="BF"/>
            <w:noWrap/>
            <w:vAlign w:val="bottom"/>
          </w:tcPr>
          <w:p w14:paraId="12825028" w14:textId="77777777" w:rsidR="00EC62A2" w:rsidRPr="00FF4AA5" w:rsidRDefault="00EC62A2" w:rsidP="00CF7FFA">
            <w:pPr>
              <w:spacing w:after="0" w:line="240" w:lineRule="auto"/>
              <w:jc w:val="right"/>
              <w:rPr>
                <w:rFonts w:eastAsia="Times New Roman"/>
                <w:b/>
                <w:bCs/>
                <w:color w:val="000000"/>
                <w:sz w:val="14"/>
                <w:szCs w:val="14"/>
                <w:lang w:eastAsia="nl-BE"/>
              </w:rPr>
            </w:pPr>
            <w:r w:rsidRPr="37382CDB">
              <w:rPr>
                <w:rFonts w:eastAsia="Times New Roman"/>
                <w:b/>
                <w:bCs/>
                <w:color w:val="000000" w:themeColor="text1"/>
                <w:sz w:val="14"/>
                <w:szCs w:val="14"/>
                <w:lang w:val="en" w:eastAsia="nl-BE"/>
              </w:rPr>
              <w:t>−1.1</w:t>
            </w:r>
          </w:p>
        </w:tc>
        <w:tc>
          <w:tcPr>
            <w:tcW w:w="638" w:type="dxa"/>
            <w:tcBorders>
              <w:top w:val="nil"/>
              <w:left w:val="nil"/>
              <w:bottom w:val="single" w:sz="4" w:space="0" w:color="FFFFFF" w:themeColor="background1"/>
              <w:right w:val="single" w:sz="4" w:space="0" w:color="FFFFFF" w:themeColor="background1"/>
            </w:tcBorders>
            <w:shd w:val="clear" w:color="auto" w:fill="BFBFBF" w:themeFill="background1" w:themeFillShade="BF"/>
            <w:noWrap/>
            <w:vAlign w:val="bottom"/>
          </w:tcPr>
          <w:p w14:paraId="2C49DA5C" w14:textId="77777777" w:rsidR="00EC62A2" w:rsidRPr="00FF4AA5" w:rsidRDefault="00EC62A2" w:rsidP="00CF7FFA">
            <w:pPr>
              <w:spacing w:after="0" w:line="240" w:lineRule="auto"/>
              <w:jc w:val="right"/>
              <w:rPr>
                <w:rFonts w:eastAsia="Times New Roman"/>
                <w:b/>
                <w:bCs/>
                <w:color w:val="000000"/>
                <w:sz w:val="14"/>
                <w:szCs w:val="14"/>
                <w:lang w:eastAsia="nl-BE"/>
              </w:rPr>
            </w:pPr>
            <w:r w:rsidRPr="37382CDB">
              <w:rPr>
                <w:rFonts w:eastAsia="Times New Roman"/>
                <w:b/>
                <w:bCs/>
                <w:color w:val="000000" w:themeColor="text1"/>
                <w:sz w:val="14"/>
                <w:szCs w:val="14"/>
                <w:lang w:val="en" w:eastAsia="nl-BE"/>
              </w:rPr>
              <w:t>1.7</w:t>
            </w:r>
          </w:p>
        </w:tc>
        <w:tc>
          <w:tcPr>
            <w:tcW w:w="805" w:type="dxa"/>
            <w:tcBorders>
              <w:top w:val="nil"/>
              <w:left w:val="nil"/>
              <w:bottom w:val="single" w:sz="4" w:space="0" w:color="FFFFFF" w:themeColor="background1"/>
              <w:right w:val="single" w:sz="4" w:space="0" w:color="FFFFFF" w:themeColor="background1"/>
            </w:tcBorders>
            <w:shd w:val="clear" w:color="auto" w:fill="BFBFBF" w:themeFill="background1" w:themeFillShade="BF"/>
            <w:noWrap/>
            <w:vAlign w:val="bottom"/>
          </w:tcPr>
          <w:p w14:paraId="284ACE5F" w14:textId="77777777" w:rsidR="00EC62A2" w:rsidRPr="00FF4AA5" w:rsidRDefault="00EC62A2" w:rsidP="00CF7FFA">
            <w:pPr>
              <w:spacing w:after="0" w:line="240" w:lineRule="auto"/>
              <w:jc w:val="right"/>
              <w:rPr>
                <w:rFonts w:eastAsia="Times New Roman"/>
                <w:b/>
                <w:bCs/>
                <w:color w:val="000000"/>
                <w:sz w:val="14"/>
                <w:szCs w:val="14"/>
                <w:lang w:eastAsia="nl-BE"/>
              </w:rPr>
            </w:pPr>
            <w:r w:rsidRPr="37382CDB">
              <w:rPr>
                <w:rFonts w:eastAsia="Times New Roman"/>
                <w:b/>
                <w:bCs/>
                <w:color w:val="000000" w:themeColor="text1"/>
                <w:sz w:val="14"/>
                <w:szCs w:val="14"/>
                <w:lang w:val="en" w:eastAsia="nl-BE"/>
              </w:rPr>
              <w:t>13,914.1</w:t>
            </w:r>
          </w:p>
        </w:tc>
        <w:tc>
          <w:tcPr>
            <w:tcW w:w="806" w:type="dxa"/>
            <w:tcBorders>
              <w:top w:val="nil"/>
              <w:left w:val="nil"/>
              <w:bottom w:val="single" w:sz="4" w:space="0" w:color="FFFFFF" w:themeColor="background1"/>
              <w:right w:val="single" w:sz="4" w:space="0" w:color="FFFFFF" w:themeColor="background1"/>
            </w:tcBorders>
            <w:shd w:val="clear" w:color="auto" w:fill="BFBFBF" w:themeFill="background1" w:themeFillShade="BF"/>
            <w:noWrap/>
            <w:vAlign w:val="bottom"/>
          </w:tcPr>
          <w:p w14:paraId="58DBC8E9" w14:textId="77777777" w:rsidR="00EC62A2" w:rsidRPr="00FF4AA5" w:rsidRDefault="00EC62A2" w:rsidP="00CF7FFA">
            <w:pPr>
              <w:spacing w:after="0" w:line="240" w:lineRule="auto"/>
              <w:jc w:val="right"/>
              <w:rPr>
                <w:rFonts w:eastAsia="Times New Roman"/>
                <w:b/>
                <w:bCs/>
                <w:color w:val="000000"/>
                <w:sz w:val="14"/>
                <w:szCs w:val="14"/>
                <w:lang w:eastAsia="nl-BE"/>
              </w:rPr>
            </w:pPr>
            <w:r w:rsidRPr="37382CDB">
              <w:rPr>
                <w:rFonts w:eastAsia="Times New Roman"/>
                <w:b/>
                <w:bCs/>
                <w:color w:val="000000" w:themeColor="text1"/>
                <w:sz w:val="14"/>
                <w:szCs w:val="14"/>
                <w:lang w:val="en" w:eastAsia="nl-BE"/>
              </w:rPr>
              <w:t>14,100.8</w:t>
            </w:r>
          </w:p>
        </w:tc>
        <w:tc>
          <w:tcPr>
            <w:tcW w:w="806" w:type="dxa"/>
            <w:tcBorders>
              <w:top w:val="nil"/>
              <w:left w:val="nil"/>
              <w:bottom w:val="single" w:sz="4" w:space="0" w:color="FFFFFF" w:themeColor="background1"/>
              <w:right w:val="nil"/>
            </w:tcBorders>
            <w:shd w:val="clear" w:color="auto" w:fill="BFBFBF" w:themeFill="background1" w:themeFillShade="BF"/>
            <w:noWrap/>
            <w:vAlign w:val="bottom"/>
          </w:tcPr>
          <w:p w14:paraId="02B7678B" w14:textId="77777777" w:rsidR="00EC62A2" w:rsidRPr="00FF4AA5" w:rsidRDefault="00EC62A2" w:rsidP="00CF7FFA">
            <w:pPr>
              <w:spacing w:after="0" w:line="240" w:lineRule="auto"/>
              <w:jc w:val="right"/>
              <w:rPr>
                <w:rFonts w:eastAsia="Times New Roman"/>
                <w:b/>
                <w:bCs/>
                <w:color w:val="000000"/>
                <w:sz w:val="14"/>
                <w:szCs w:val="14"/>
                <w:lang w:eastAsia="nl-BE"/>
              </w:rPr>
            </w:pPr>
            <w:r w:rsidRPr="37382CDB">
              <w:rPr>
                <w:rFonts w:eastAsia="Times New Roman"/>
                <w:b/>
                <w:bCs/>
                <w:color w:val="000000" w:themeColor="text1"/>
                <w:sz w:val="14"/>
                <w:szCs w:val="14"/>
                <w:lang w:val="en" w:eastAsia="nl-BE"/>
              </w:rPr>
              <w:t>+1.3</w:t>
            </w:r>
          </w:p>
        </w:tc>
        <w:tc>
          <w:tcPr>
            <w:tcW w:w="784" w:type="dxa"/>
            <w:tcBorders>
              <w:top w:val="nil"/>
              <w:left w:val="single" w:sz="4" w:space="0" w:color="auto"/>
              <w:bottom w:val="single" w:sz="4" w:space="0" w:color="FFFFFF" w:themeColor="background1"/>
              <w:right w:val="single" w:sz="4" w:space="0" w:color="auto"/>
            </w:tcBorders>
            <w:shd w:val="clear" w:color="auto" w:fill="BFBFBF" w:themeFill="background1" w:themeFillShade="BF"/>
            <w:noWrap/>
            <w:vAlign w:val="bottom"/>
          </w:tcPr>
          <w:p w14:paraId="510BEB41" w14:textId="77777777" w:rsidR="00EC62A2" w:rsidRPr="00FF4AA5" w:rsidRDefault="00EC62A2" w:rsidP="00CF7FFA">
            <w:pPr>
              <w:spacing w:after="0" w:line="240" w:lineRule="auto"/>
              <w:jc w:val="right"/>
              <w:rPr>
                <w:rFonts w:eastAsia="Times New Roman"/>
                <w:b/>
                <w:bCs/>
                <w:color w:val="000000"/>
                <w:sz w:val="14"/>
                <w:szCs w:val="14"/>
                <w:lang w:eastAsia="nl-BE"/>
              </w:rPr>
            </w:pPr>
            <w:r w:rsidRPr="37382CDB">
              <w:rPr>
                <w:rFonts w:eastAsia="Times New Roman"/>
                <w:b/>
                <w:bCs/>
                <w:color w:val="000000" w:themeColor="text1"/>
                <w:sz w:val="14"/>
                <w:szCs w:val="14"/>
                <w:lang w:val="en" w:eastAsia="nl-BE"/>
              </w:rPr>
              <w:t>19.7</w:t>
            </w:r>
          </w:p>
        </w:tc>
      </w:tr>
      <w:tr w:rsidR="00EC62A2" w14:paraId="40583FB1" w14:textId="77777777" w:rsidTr="00CF7FFA">
        <w:tc>
          <w:tcPr>
            <w:tcW w:w="1838" w:type="dxa"/>
            <w:tcBorders>
              <w:top w:val="single" w:sz="4" w:space="0" w:color="auto"/>
              <w:left w:val="single" w:sz="4" w:space="0" w:color="auto"/>
              <w:bottom w:val="single" w:sz="4" w:space="0" w:color="auto"/>
              <w:right w:val="nil"/>
            </w:tcBorders>
            <w:shd w:val="clear" w:color="auto" w:fill="D9D9D9" w:themeFill="background1" w:themeFillShade="D9"/>
            <w:vAlign w:val="bottom"/>
            <w:hideMark/>
          </w:tcPr>
          <w:p w14:paraId="110AA3A5" w14:textId="77777777" w:rsidR="00EC62A2" w:rsidRPr="0036109B" w:rsidRDefault="00EC62A2" w:rsidP="00CF7FFA">
            <w:pPr>
              <w:spacing w:after="0" w:line="240" w:lineRule="auto"/>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North America</w:t>
            </w:r>
          </w:p>
        </w:tc>
        <w:tc>
          <w:tcPr>
            <w:tcW w:w="805" w:type="dxa"/>
            <w:tcBorders>
              <w:top w:val="single" w:sz="4" w:space="0" w:color="auto"/>
              <w:left w:val="single" w:sz="4" w:space="0" w:color="auto"/>
              <w:bottom w:val="single" w:sz="4" w:space="0" w:color="auto"/>
              <w:right w:val="single" w:sz="4" w:space="0" w:color="FFFFFF" w:themeColor="background1"/>
            </w:tcBorders>
            <w:shd w:val="clear" w:color="auto" w:fill="D9D9D9" w:themeFill="background1" w:themeFillShade="D9"/>
            <w:vAlign w:val="bottom"/>
            <w:hideMark/>
          </w:tcPr>
          <w:p w14:paraId="6034B5E0"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0.3</w:t>
            </w:r>
          </w:p>
        </w:tc>
        <w:tc>
          <w:tcPr>
            <w:tcW w:w="896" w:type="dxa"/>
            <w:tcBorders>
              <w:top w:val="single" w:sz="4" w:space="0" w:color="auto"/>
              <w:left w:val="nil"/>
              <w:bottom w:val="single" w:sz="4" w:space="0" w:color="auto"/>
              <w:right w:val="single" w:sz="4" w:space="0" w:color="FFFFFF" w:themeColor="background1"/>
            </w:tcBorders>
            <w:shd w:val="clear" w:color="auto" w:fill="D9D9D9" w:themeFill="background1" w:themeFillShade="D9"/>
            <w:vAlign w:val="bottom"/>
            <w:hideMark/>
          </w:tcPr>
          <w:p w14:paraId="61323069"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4,180.4</w:t>
            </w:r>
          </w:p>
        </w:tc>
        <w:tc>
          <w:tcPr>
            <w:tcW w:w="992" w:type="dxa"/>
            <w:tcBorders>
              <w:top w:val="single" w:sz="4" w:space="0" w:color="auto"/>
              <w:left w:val="nil"/>
              <w:bottom w:val="single" w:sz="4" w:space="0" w:color="auto"/>
              <w:right w:val="single" w:sz="4" w:space="0" w:color="FFFFFF" w:themeColor="background1"/>
            </w:tcBorders>
            <w:shd w:val="clear" w:color="auto" w:fill="D9D9D9" w:themeFill="background1" w:themeFillShade="D9"/>
            <w:vAlign w:val="bottom"/>
            <w:hideMark/>
          </w:tcPr>
          <w:p w14:paraId="5D780469"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3,522.3</w:t>
            </w:r>
          </w:p>
        </w:tc>
        <w:tc>
          <w:tcPr>
            <w:tcW w:w="73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04E08EF"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−15.7</w:t>
            </w:r>
          </w:p>
        </w:tc>
        <w:tc>
          <w:tcPr>
            <w:tcW w:w="638" w:type="dxa"/>
            <w:tcBorders>
              <w:top w:val="single" w:sz="4" w:space="0" w:color="auto"/>
              <w:left w:val="nil"/>
              <w:bottom w:val="single" w:sz="4" w:space="0" w:color="auto"/>
              <w:right w:val="single" w:sz="4" w:space="0" w:color="FFFFFF" w:themeColor="background1"/>
            </w:tcBorders>
            <w:shd w:val="clear" w:color="auto" w:fill="D9D9D9" w:themeFill="background1" w:themeFillShade="D9"/>
            <w:noWrap/>
            <w:vAlign w:val="bottom"/>
            <w:hideMark/>
          </w:tcPr>
          <w:p w14:paraId="2CB99C08"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3.6</w:t>
            </w:r>
          </w:p>
        </w:tc>
        <w:tc>
          <w:tcPr>
            <w:tcW w:w="805" w:type="dxa"/>
            <w:tcBorders>
              <w:top w:val="single" w:sz="4" w:space="0" w:color="auto"/>
              <w:left w:val="nil"/>
              <w:bottom w:val="single" w:sz="4" w:space="0" w:color="auto"/>
              <w:right w:val="single" w:sz="4" w:space="0" w:color="FFFFFF" w:themeColor="background1"/>
            </w:tcBorders>
            <w:shd w:val="clear" w:color="auto" w:fill="D9D9D9" w:themeFill="background1" w:themeFillShade="D9"/>
            <w:noWrap/>
            <w:vAlign w:val="bottom"/>
            <w:hideMark/>
          </w:tcPr>
          <w:p w14:paraId="67A3A543"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20,759.4</w:t>
            </w:r>
          </w:p>
        </w:tc>
        <w:tc>
          <w:tcPr>
            <w:tcW w:w="806" w:type="dxa"/>
            <w:tcBorders>
              <w:top w:val="single" w:sz="4" w:space="0" w:color="auto"/>
              <w:left w:val="nil"/>
              <w:bottom w:val="single" w:sz="4" w:space="0" w:color="auto"/>
              <w:right w:val="single" w:sz="4" w:space="0" w:color="FFFFFF" w:themeColor="background1"/>
            </w:tcBorders>
            <w:shd w:val="clear" w:color="auto" w:fill="D9D9D9" w:themeFill="background1" w:themeFillShade="D9"/>
            <w:noWrap/>
            <w:vAlign w:val="bottom"/>
            <w:hideMark/>
          </w:tcPr>
          <w:p w14:paraId="0C07EAB0"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28,815.7</w:t>
            </w:r>
          </w:p>
        </w:tc>
        <w:tc>
          <w:tcPr>
            <w:tcW w:w="806" w:type="dxa"/>
            <w:tcBorders>
              <w:top w:val="single" w:sz="4" w:space="0" w:color="auto"/>
              <w:left w:val="nil"/>
              <w:bottom w:val="single" w:sz="4" w:space="0" w:color="auto"/>
              <w:right w:val="nil"/>
            </w:tcBorders>
            <w:shd w:val="clear" w:color="auto" w:fill="D9D9D9" w:themeFill="background1" w:themeFillShade="D9"/>
            <w:noWrap/>
            <w:vAlign w:val="bottom"/>
            <w:hideMark/>
          </w:tcPr>
          <w:p w14:paraId="26C31245"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38.8</w:t>
            </w:r>
          </w:p>
        </w:tc>
        <w:tc>
          <w:tcPr>
            <w:tcW w:w="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4A09A9D"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818.1</w:t>
            </w:r>
          </w:p>
        </w:tc>
      </w:tr>
      <w:tr w:rsidR="00EC62A2" w14:paraId="576BDC3F" w14:textId="77777777" w:rsidTr="00CF7FFA">
        <w:tc>
          <w:tcPr>
            <w:tcW w:w="1838" w:type="dxa"/>
            <w:tcBorders>
              <w:top w:val="single" w:sz="4" w:space="0" w:color="auto"/>
              <w:left w:val="single" w:sz="4" w:space="0" w:color="auto"/>
              <w:bottom w:val="single" w:sz="4" w:space="0" w:color="auto"/>
              <w:right w:val="nil"/>
            </w:tcBorders>
            <w:shd w:val="clear" w:color="auto" w:fill="D9D9D9" w:themeFill="background1" w:themeFillShade="D9"/>
            <w:vAlign w:val="bottom"/>
            <w:hideMark/>
          </w:tcPr>
          <w:p w14:paraId="14904E28" w14:textId="77777777" w:rsidR="00EC62A2" w:rsidRPr="0036109B" w:rsidRDefault="00EC62A2" w:rsidP="00CF7FFA">
            <w:pPr>
              <w:spacing w:after="0" w:line="240" w:lineRule="auto"/>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Latin America</w:t>
            </w:r>
          </w:p>
        </w:tc>
        <w:tc>
          <w:tcPr>
            <w:tcW w:w="805" w:type="dxa"/>
            <w:tcBorders>
              <w:top w:val="single" w:sz="4" w:space="0" w:color="auto"/>
              <w:left w:val="single" w:sz="4" w:space="0" w:color="auto"/>
              <w:bottom w:val="single" w:sz="4" w:space="0" w:color="auto"/>
              <w:right w:val="single" w:sz="4" w:space="0" w:color="FFFFFF" w:themeColor="background1"/>
            </w:tcBorders>
            <w:shd w:val="clear" w:color="auto" w:fill="D9D9D9" w:themeFill="background1" w:themeFillShade="D9"/>
            <w:vAlign w:val="bottom"/>
            <w:hideMark/>
          </w:tcPr>
          <w:p w14:paraId="7F131ABC"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0.1</w:t>
            </w:r>
          </w:p>
        </w:tc>
        <w:tc>
          <w:tcPr>
            <w:tcW w:w="896" w:type="dxa"/>
            <w:tcBorders>
              <w:top w:val="single" w:sz="4" w:space="0" w:color="auto"/>
              <w:left w:val="nil"/>
              <w:bottom w:val="single" w:sz="4" w:space="0" w:color="auto"/>
              <w:right w:val="single" w:sz="4" w:space="0" w:color="FFFFFF" w:themeColor="background1"/>
            </w:tcBorders>
            <w:shd w:val="clear" w:color="auto" w:fill="D9D9D9" w:themeFill="background1" w:themeFillShade="D9"/>
            <w:vAlign w:val="bottom"/>
            <w:hideMark/>
          </w:tcPr>
          <w:p w14:paraId="1AF5A612"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1,079.0</w:t>
            </w:r>
          </w:p>
        </w:tc>
        <w:tc>
          <w:tcPr>
            <w:tcW w:w="992" w:type="dxa"/>
            <w:tcBorders>
              <w:top w:val="single" w:sz="4" w:space="0" w:color="auto"/>
              <w:left w:val="nil"/>
              <w:bottom w:val="single" w:sz="4" w:space="0" w:color="auto"/>
              <w:right w:val="single" w:sz="4" w:space="0" w:color="FFFFFF" w:themeColor="background1"/>
            </w:tcBorders>
            <w:shd w:val="clear" w:color="auto" w:fill="D9D9D9" w:themeFill="background1" w:themeFillShade="D9"/>
            <w:vAlign w:val="bottom"/>
            <w:hideMark/>
          </w:tcPr>
          <w:p w14:paraId="5CF0B91C"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1,351.6</w:t>
            </w:r>
          </w:p>
        </w:tc>
        <w:tc>
          <w:tcPr>
            <w:tcW w:w="73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9FA4655"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25.3</w:t>
            </w:r>
          </w:p>
        </w:tc>
        <w:tc>
          <w:tcPr>
            <w:tcW w:w="638" w:type="dxa"/>
            <w:tcBorders>
              <w:top w:val="single" w:sz="4" w:space="0" w:color="auto"/>
              <w:left w:val="nil"/>
              <w:bottom w:val="single" w:sz="4" w:space="0" w:color="auto"/>
              <w:right w:val="single" w:sz="4" w:space="0" w:color="FFFFFF" w:themeColor="background1"/>
            </w:tcBorders>
            <w:shd w:val="clear" w:color="auto" w:fill="D9D9D9" w:themeFill="background1" w:themeFillShade="D9"/>
            <w:noWrap/>
            <w:vAlign w:val="bottom"/>
            <w:hideMark/>
          </w:tcPr>
          <w:p w14:paraId="3168F895"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0.3</w:t>
            </w:r>
          </w:p>
        </w:tc>
        <w:tc>
          <w:tcPr>
            <w:tcW w:w="805" w:type="dxa"/>
            <w:tcBorders>
              <w:top w:val="single" w:sz="4" w:space="0" w:color="auto"/>
              <w:left w:val="nil"/>
              <w:bottom w:val="single" w:sz="4" w:space="0" w:color="auto"/>
              <w:right w:val="single" w:sz="4" w:space="0" w:color="FFFFFF" w:themeColor="background1"/>
            </w:tcBorders>
            <w:shd w:val="clear" w:color="auto" w:fill="D9D9D9" w:themeFill="background1" w:themeFillShade="D9"/>
            <w:noWrap/>
            <w:vAlign w:val="bottom"/>
            <w:hideMark/>
          </w:tcPr>
          <w:p w14:paraId="23152D78"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2,400.7</w:t>
            </w:r>
          </w:p>
        </w:tc>
        <w:tc>
          <w:tcPr>
            <w:tcW w:w="806" w:type="dxa"/>
            <w:tcBorders>
              <w:top w:val="single" w:sz="4" w:space="0" w:color="auto"/>
              <w:left w:val="nil"/>
              <w:bottom w:val="single" w:sz="4" w:space="0" w:color="auto"/>
              <w:right w:val="single" w:sz="4" w:space="0" w:color="FFFFFF" w:themeColor="background1"/>
            </w:tcBorders>
            <w:shd w:val="clear" w:color="auto" w:fill="D9D9D9" w:themeFill="background1" w:themeFillShade="D9"/>
            <w:noWrap/>
            <w:vAlign w:val="bottom"/>
            <w:hideMark/>
          </w:tcPr>
          <w:p w14:paraId="7E7E170D"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2,019.0</w:t>
            </w:r>
          </w:p>
        </w:tc>
        <w:tc>
          <w:tcPr>
            <w:tcW w:w="806" w:type="dxa"/>
            <w:tcBorders>
              <w:top w:val="single" w:sz="4" w:space="0" w:color="auto"/>
              <w:left w:val="nil"/>
              <w:bottom w:val="single" w:sz="4" w:space="0" w:color="auto"/>
              <w:right w:val="nil"/>
            </w:tcBorders>
            <w:shd w:val="clear" w:color="auto" w:fill="D9D9D9" w:themeFill="background1" w:themeFillShade="D9"/>
            <w:noWrap/>
            <w:vAlign w:val="bottom"/>
            <w:hideMark/>
          </w:tcPr>
          <w:p w14:paraId="46475258"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−15.9</w:t>
            </w:r>
          </w:p>
        </w:tc>
        <w:tc>
          <w:tcPr>
            <w:tcW w:w="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92EE74A"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149.4</w:t>
            </w:r>
          </w:p>
        </w:tc>
      </w:tr>
      <w:tr w:rsidR="00EC62A2" w14:paraId="6C55B94F" w14:textId="77777777" w:rsidTr="00CF7FFA">
        <w:tc>
          <w:tcPr>
            <w:tcW w:w="1838" w:type="dxa"/>
            <w:tcBorders>
              <w:top w:val="single" w:sz="4" w:space="0" w:color="auto"/>
              <w:left w:val="single" w:sz="4" w:space="0" w:color="auto"/>
              <w:bottom w:val="single" w:sz="4" w:space="0" w:color="auto"/>
              <w:right w:val="nil"/>
            </w:tcBorders>
            <w:shd w:val="clear" w:color="auto" w:fill="D9D9D9" w:themeFill="background1" w:themeFillShade="D9"/>
            <w:vAlign w:val="bottom"/>
            <w:hideMark/>
          </w:tcPr>
          <w:p w14:paraId="5FED38F9" w14:textId="77777777" w:rsidR="00EC62A2" w:rsidRPr="0036109B" w:rsidRDefault="00EC62A2" w:rsidP="00CF7FFA">
            <w:pPr>
              <w:spacing w:after="0" w:line="240" w:lineRule="auto"/>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Africa</w:t>
            </w:r>
          </w:p>
        </w:tc>
        <w:tc>
          <w:tcPr>
            <w:tcW w:w="805" w:type="dxa"/>
            <w:tcBorders>
              <w:top w:val="single" w:sz="4" w:space="0" w:color="auto"/>
              <w:left w:val="single" w:sz="4" w:space="0" w:color="auto"/>
              <w:bottom w:val="single" w:sz="4" w:space="0" w:color="auto"/>
              <w:right w:val="single" w:sz="4" w:space="0" w:color="FFFFFF" w:themeColor="background1"/>
            </w:tcBorders>
            <w:shd w:val="clear" w:color="auto" w:fill="D9D9D9" w:themeFill="background1" w:themeFillShade="D9"/>
            <w:vAlign w:val="bottom"/>
            <w:hideMark/>
          </w:tcPr>
          <w:p w14:paraId="2AAF8B5D"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0.1</w:t>
            </w:r>
          </w:p>
        </w:tc>
        <w:tc>
          <w:tcPr>
            <w:tcW w:w="896" w:type="dxa"/>
            <w:tcBorders>
              <w:top w:val="single" w:sz="4" w:space="0" w:color="auto"/>
              <w:left w:val="nil"/>
              <w:bottom w:val="single" w:sz="4" w:space="0" w:color="auto"/>
              <w:right w:val="single" w:sz="4" w:space="0" w:color="FFFFFF" w:themeColor="background1"/>
            </w:tcBorders>
            <w:shd w:val="clear" w:color="auto" w:fill="D9D9D9" w:themeFill="background1" w:themeFillShade="D9"/>
            <w:vAlign w:val="bottom"/>
            <w:hideMark/>
          </w:tcPr>
          <w:p w14:paraId="2B823FA2"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784.4</w:t>
            </w:r>
          </w:p>
        </w:tc>
        <w:tc>
          <w:tcPr>
            <w:tcW w:w="992" w:type="dxa"/>
            <w:tcBorders>
              <w:top w:val="single" w:sz="4" w:space="0" w:color="auto"/>
              <w:left w:val="nil"/>
              <w:bottom w:val="single" w:sz="4" w:space="0" w:color="auto"/>
              <w:right w:val="single" w:sz="4" w:space="0" w:color="FFFFFF" w:themeColor="background1"/>
            </w:tcBorders>
            <w:shd w:val="clear" w:color="auto" w:fill="D9D9D9" w:themeFill="background1" w:themeFillShade="D9"/>
            <w:vAlign w:val="bottom"/>
            <w:hideMark/>
          </w:tcPr>
          <w:p w14:paraId="3ED00351"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656.8</w:t>
            </w:r>
          </w:p>
        </w:tc>
        <w:tc>
          <w:tcPr>
            <w:tcW w:w="73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D1C0F9E"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−16.3</w:t>
            </w:r>
          </w:p>
        </w:tc>
        <w:tc>
          <w:tcPr>
            <w:tcW w:w="638" w:type="dxa"/>
            <w:tcBorders>
              <w:top w:val="single" w:sz="4" w:space="0" w:color="auto"/>
              <w:left w:val="nil"/>
              <w:bottom w:val="single" w:sz="4" w:space="0" w:color="auto"/>
              <w:right w:val="single" w:sz="4" w:space="0" w:color="FFFFFF" w:themeColor="background1"/>
            </w:tcBorders>
            <w:shd w:val="clear" w:color="auto" w:fill="D9D9D9" w:themeFill="background1" w:themeFillShade="D9"/>
            <w:noWrap/>
            <w:vAlign w:val="bottom"/>
            <w:hideMark/>
          </w:tcPr>
          <w:p w14:paraId="48900E65"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1.5</w:t>
            </w:r>
          </w:p>
        </w:tc>
        <w:tc>
          <w:tcPr>
            <w:tcW w:w="805" w:type="dxa"/>
            <w:tcBorders>
              <w:top w:val="single" w:sz="4" w:space="0" w:color="auto"/>
              <w:left w:val="nil"/>
              <w:bottom w:val="single" w:sz="4" w:space="0" w:color="auto"/>
              <w:right w:val="single" w:sz="4" w:space="0" w:color="FFFFFF" w:themeColor="background1"/>
            </w:tcBorders>
            <w:shd w:val="clear" w:color="auto" w:fill="D9D9D9" w:themeFill="background1" w:themeFillShade="D9"/>
            <w:noWrap/>
            <w:vAlign w:val="bottom"/>
            <w:hideMark/>
          </w:tcPr>
          <w:p w14:paraId="5985050B"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11,642.4</w:t>
            </w:r>
          </w:p>
        </w:tc>
        <w:tc>
          <w:tcPr>
            <w:tcW w:w="806" w:type="dxa"/>
            <w:tcBorders>
              <w:top w:val="single" w:sz="4" w:space="0" w:color="auto"/>
              <w:left w:val="nil"/>
              <w:bottom w:val="single" w:sz="4" w:space="0" w:color="auto"/>
              <w:right w:val="single" w:sz="4" w:space="0" w:color="FFFFFF" w:themeColor="background1"/>
            </w:tcBorders>
            <w:shd w:val="clear" w:color="auto" w:fill="D9D9D9" w:themeFill="background1" w:themeFillShade="D9"/>
            <w:noWrap/>
            <w:vAlign w:val="bottom"/>
            <w:hideMark/>
          </w:tcPr>
          <w:p w14:paraId="5F1F545B"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12,247.4</w:t>
            </w:r>
          </w:p>
        </w:tc>
        <w:tc>
          <w:tcPr>
            <w:tcW w:w="806" w:type="dxa"/>
            <w:tcBorders>
              <w:top w:val="single" w:sz="4" w:space="0" w:color="auto"/>
              <w:left w:val="nil"/>
              <w:bottom w:val="single" w:sz="4" w:space="0" w:color="auto"/>
              <w:right w:val="nil"/>
            </w:tcBorders>
            <w:shd w:val="clear" w:color="auto" w:fill="D9D9D9" w:themeFill="background1" w:themeFillShade="D9"/>
            <w:noWrap/>
            <w:vAlign w:val="bottom"/>
            <w:hideMark/>
          </w:tcPr>
          <w:p w14:paraId="4FF40D56"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5.2</w:t>
            </w:r>
          </w:p>
        </w:tc>
        <w:tc>
          <w:tcPr>
            <w:tcW w:w="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0B073C2"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1,864.8</w:t>
            </w:r>
          </w:p>
        </w:tc>
      </w:tr>
      <w:tr w:rsidR="00EC62A2" w14:paraId="005E0D3E" w14:textId="77777777" w:rsidTr="00CF7FFA">
        <w:tc>
          <w:tcPr>
            <w:tcW w:w="1838" w:type="dxa"/>
            <w:tcBorders>
              <w:top w:val="single" w:sz="4" w:space="0" w:color="auto"/>
              <w:left w:val="single" w:sz="4" w:space="0" w:color="auto"/>
              <w:bottom w:val="single" w:sz="4" w:space="0" w:color="auto"/>
              <w:right w:val="nil"/>
            </w:tcBorders>
            <w:shd w:val="clear" w:color="auto" w:fill="D9D9D9" w:themeFill="background1" w:themeFillShade="D9"/>
            <w:vAlign w:val="bottom"/>
            <w:hideMark/>
          </w:tcPr>
          <w:p w14:paraId="2FB2F1C1" w14:textId="77777777" w:rsidR="00EC62A2" w:rsidRPr="0036109B" w:rsidRDefault="00EC62A2" w:rsidP="00CF7FFA">
            <w:pPr>
              <w:spacing w:after="0" w:line="240" w:lineRule="auto"/>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Middle East</w:t>
            </w:r>
          </w:p>
        </w:tc>
        <w:tc>
          <w:tcPr>
            <w:tcW w:w="805" w:type="dxa"/>
            <w:tcBorders>
              <w:top w:val="single" w:sz="4" w:space="0" w:color="auto"/>
              <w:left w:val="single" w:sz="4" w:space="0" w:color="auto"/>
              <w:bottom w:val="single" w:sz="4" w:space="0" w:color="auto"/>
              <w:right w:val="single" w:sz="4" w:space="0" w:color="FFFFFF" w:themeColor="background1"/>
            </w:tcBorders>
            <w:shd w:val="clear" w:color="auto" w:fill="D9D9D9" w:themeFill="background1" w:themeFillShade="D9"/>
            <w:vAlign w:val="bottom"/>
            <w:hideMark/>
          </w:tcPr>
          <w:p w14:paraId="7EF13BDF"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0.4</w:t>
            </w:r>
          </w:p>
        </w:tc>
        <w:tc>
          <w:tcPr>
            <w:tcW w:w="896" w:type="dxa"/>
            <w:tcBorders>
              <w:top w:val="single" w:sz="4" w:space="0" w:color="auto"/>
              <w:left w:val="nil"/>
              <w:bottom w:val="single" w:sz="4" w:space="0" w:color="auto"/>
              <w:right w:val="single" w:sz="4" w:space="0" w:color="FFFFFF" w:themeColor="background1"/>
            </w:tcBorders>
            <w:shd w:val="clear" w:color="auto" w:fill="D9D9D9" w:themeFill="background1" w:themeFillShade="D9"/>
            <w:vAlign w:val="bottom"/>
            <w:hideMark/>
          </w:tcPr>
          <w:p w14:paraId="0792D426"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3,946.8</w:t>
            </w:r>
          </w:p>
        </w:tc>
        <w:tc>
          <w:tcPr>
            <w:tcW w:w="992" w:type="dxa"/>
            <w:tcBorders>
              <w:top w:val="single" w:sz="4" w:space="0" w:color="auto"/>
              <w:left w:val="nil"/>
              <w:bottom w:val="single" w:sz="4" w:space="0" w:color="auto"/>
              <w:right w:val="single" w:sz="4" w:space="0" w:color="FFFFFF" w:themeColor="background1"/>
            </w:tcBorders>
            <w:shd w:val="clear" w:color="auto" w:fill="D9D9D9" w:themeFill="background1" w:themeFillShade="D9"/>
            <w:vAlign w:val="bottom"/>
            <w:hideMark/>
          </w:tcPr>
          <w:p w14:paraId="26E16C48"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5,487.1</w:t>
            </w:r>
          </w:p>
        </w:tc>
        <w:tc>
          <w:tcPr>
            <w:tcW w:w="73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103BBA8"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39.0</w:t>
            </w:r>
          </w:p>
        </w:tc>
        <w:tc>
          <w:tcPr>
            <w:tcW w:w="638" w:type="dxa"/>
            <w:tcBorders>
              <w:top w:val="single" w:sz="4" w:space="0" w:color="auto"/>
              <w:left w:val="nil"/>
              <w:bottom w:val="single" w:sz="4" w:space="0" w:color="auto"/>
              <w:right w:val="single" w:sz="4" w:space="0" w:color="FFFFFF" w:themeColor="background1"/>
            </w:tcBorders>
            <w:shd w:val="clear" w:color="auto" w:fill="D9D9D9" w:themeFill="background1" w:themeFillShade="D9"/>
            <w:noWrap/>
            <w:vAlign w:val="bottom"/>
            <w:hideMark/>
          </w:tcPr>
          <w:p w14:paraId="7742EA07"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1.2</w:t>
            </w:r>
          </w:p>
        </w:tc>
        <w:tc>
          <w:tcPr>
            <w:tcW w:w="805" w:type="dxa"/>
            <w:tcBorders>
              <w:top w:val="single" w:sz="4" w:space="0" w:color="auto"/>
              <w:left w:val="nil"/>
              <w:bottom w:val="single" w:sz="4" w:space="0" w:color="auto"/>
              <w:right w:val="single" w:sz="4" w:space="0" w:color="FFFFFF" w:themeColor="background1"/>
            </w:tcBorders>
            <w:shd w:val="clear" w:color="auto" w:fill="D9D9D9" w:themeFill="background1" w:themeFillShade="D9"/>
            <w:noWrap/>
            <w:vAlign w:val="bottom"/>
            <w:hideMark/>
          </w:tcPr>
          <w:p w14:paraId="5D19121E"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7,533.9</w:t>
            </w:r>
          </w:p>
        </w:tc>
        <w:tc>
          <w:tcPr>
            <w:tcW w:w="806" w:type="dxa"/>
            <w:tcBorders>
              <w:top w:val="single" w:sz="4" w:space="0" w:color="auto"/>
              <w:left w:val="nil"/>
              <w:bottom w:val="single" w:sz="4" w:space="0" w:color="auto"/>
              <w:right w:val="single" w:sz="4" w:space="0" w:color="FFFFFF" w:themeColor="background1"/>
            </w:tcBorders>
            <w:shd w:val="clear" w:color="auto" w:fill="D9D9D9" w:themeFill="background1" w:themeFillShade="D9"/>
            <w:noWrap/>
            <w:vAlign w:val="bottom"/>
            <w:hideMark/>
          </w:tcPr>
          <w:p w14:paraId="25D8E13E"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9,431.5</w:t>
            </w:r>
          </w:p>
        </w:tc>
        <w:tc>
          <w:tcPr>
            <w:tcW w:w="806" w:type="dxa"/>
            <w:tcBorders>
              <w:top w:val="single" w:sz="4" w:space="0" w:color="auto"/>
              <w:left w:val="nil"/>
              <w:bottom w:val="single" w:sz="4" w:space="0" w:color="auto"/>
              <w:right w:val="nil"/>
            </w:tcBorders>
            <w:shd w:val="clear" w:color="auto" w:fill="D9D9D9" w:themeFill="background1" w:themeFillShade="D9"/>
            <w:noWrap/>
            <w:vAlign w:val="bottom"/>
            <w:hideMark/>
          </w:tcPr>
          <w:p w14:paraId="0C45C0EC"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25.2</w:t>
            </w:r>
          </w:p>
        </w:tc>
        <w:tc>
          <w:tcPr>
            <w:tcW w:w="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B06D674"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171.9</w:t>
            </w:r>
          </w:p>
        </w:tc>
      </w:tr>
      <w:tr w:rsidR="00EC62A2" w14:paraId="7CEB888D" w14:textId="77777777" w:rsidTr="00CF7FFA">
        <w:tc>
          <w:tcPr>
            <w:tcW w:w="1838" w:type="dxa"/>
            <w:tcBorders>
              <w:top w:val="single" w:sz="4" w:space="0" w:color="auto"/>
              <w:left w:val="single" w:sz="4" w:space="0" w:color="auto"/>
              <w:bottom w:val="single" w:sz="4" w:space="0" w:color="auto"/>
              <w:right w:val="nil"/>
            </w:tcBorders>
            <w:shd w:val="clear" w:color="auto" w:fill="D9D9D9" w:themeFill="background1" w:themeFillShade="D9"/>
            <w:vAlign w:val="bottom"/>
            <w:hideMark/>
          </w:tcPr>
          <w:p w14:paraId="332EA29F" w14:textId="77777777" w:rsidR="00EC62A2" w:rsidRPr="0036109B" w:rsidRDefault="00EC62A2" w:rsidP="00CF7FFA">
            <w:pPr>
              <w:spacing w:after="0" w:line="240" w:lineRule="auto"/>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Far East</w:t>
            </w:r>
          </w:p>
        </w:tc>
        <w:tc>
          <w:tcPr>
            <w:tcW w:w="805" w:type="dxa"/>
            <w:tcBorders>
              <w:top w:val="single" w:sz="4" w:space="0" w:color="auto"/>
              <w:left w:val="single" w:sz="4" w:space="0" w:color="auto"/>
              <w:bottom w:val="single" w:sz="4" w:space="0" w:color="auto"/>
              <w:right w:val="single" w:sz="4" w:space="0" w:color="FFFFFF" w:themeColor="background1"/>
            </w:tcBorders>
            <w:shd w:val="clear" w:color="auto" w:fill="D9D9D9" w:themeFill="background1" w:themeFillShade="D9"/>
            <w:vAlign w:val="bottom"/>
            <w:hideMark/>
          </w:tcPr>
          <w:p w14:paraId="1F216FDA"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34.3</w:t>
            </w:r>
          </w:p>
        </w:tc>
        <w:tc>
          <w:tcPr>
            <w:tcW w:w="896" w:type="dxa"/>
            <w:tcBorders>
              <w:top w:val="single" w:sz="4" w:space="0" w:color="auto"/>
              <w:left w:val="nil"/>
              <w:bottom w:val="single" w:sz="4" w:space="0" w:color="auto"/>
              <w:right w:val="single" w:sz="4" w:space="0" w:color="FFFFFF" w:themeColor="background1"/>
            </w:tcBorders>
            <w:shd w:val="clear" w:color="auto" w:fill="D9D9D9" w:themeFill="background1" w:themeFillShade="D9"/>
            <w:vAlign w:val="bottom"/>
            <w:hideMark/>
          </w:tcPr>
          <w:p w14:paraId="60CCC7FF"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369,580.4</w:t>
            </w:r>
          </w:p>
        </w:tc>
        <w:tc>
          <w:tcPr>
            <w:tcW w:w="992" w:type="dxa"/>
            <w:tcBorders>
              <w:top w:val="single" w:sz="4" w:space="0" w:color="auto"/>
              <w:left w:val="nil"/>
              <w:bottom w:val="single" w:sz="4" w:space="0" w:color="auto"/>
              <w:right w:val="single" w:sz="4" w:space="0" w:color="FFFFFF" w:themeColor="background1"/>
            </w:tcBorders>
            <w:shd w:val="clear" w:color="auto" w:fill="D9D9D9" w:themeFill="background1" w:themeFillShade="D9"/>
            <w:vAlign w:val="bottom"/>
            <w:hideMark/>
          </w:tcPr>
          <w:p w14:paraId="2B217E9E"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423,448.2</w:t>
            </w:r>
          </w:p>
        </w:tc>
        <w:tc>
          <w:tcPr>
            <w:tcW w:w="73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F034C57"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14.6</w:t>
            </w:r>
          </w:p>
        </w:tc>
        <w:tc>
          <w:tcPr>
            <w:tcW w:w="638" w:type="dxa"/>
            <w:tcBorders>
              <w:top w:val="single" w:sz="4" w:space="0" w:color="auto"/>
              <w:left w:val="nil"/>
              <w:bottom w:val="single" w:sz="4" w:space="0" w:color="auto"/>
              <w:right w:val="single" w:sz="4" w:space="0" w:color="FFFFFF" w:themeColor="background1"/>
            </w:tcBorders>
            <w:shd w:val="clear" w:color="auto" w:fill="D9D9D9" w:themeFill="background1" w:themeFillShade="D9"/>
            <w:noWrap/>
            <w:vAlign w:val="bottom"/>
            <w:hideMark/>
          </w:tcPr>
          <w:p w14:paraId="7C947061"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1.1</w:t>
            </w:r>
          </w:p>
        </w:tc>
        <w:tc>
          <w:tcPr>
            <w:tcW w:w="805" w:type="dxa"/>
            <w:tcBorders>
              <w:top w:val="single" w:sz="4" w:space="0" w:color="auto"/>
              <w:left w:val="nil"/>
              <w:bottom w:val="single" w:sz="4" w:space="0" w:color="auto"/>
              <w:right w:val="single" w:sz="4" w:space="0" w:color="FFFFFF" w:themeColor="background1"/>
            </w:tcBorders>
            <w:shd w:val="clear" w:color="auto" w:fill="D9D9D9" w:themeFill="background1" w:themeFillShade="D9"/>
            <w:noWrap/>
            <w:vAlign w:val="bottom"/>
            <w:hideMark/>
          </w:tcPr>
          <w:p w14:paraId="65A84414"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7,528.1</w:t>
            </w:r>
          </w:p>
        </w:tc>
        <w:tc>
          <w:tcPr>
            <w:tcW w:w="806" w:type="dxa"/>
            <w:tcBorders>
              <w:top w:val="single" w:sz="4" w:space="0" w:color="auto"/>
              <w:left w:val="nil"/>
              <w:bottom w:val="single" w:sz="4" w:space="0" w:color="auto"/>
              <w:right w:val="single" w:sz="4" w:space="0" w:color="FFFFFF" w:themeColor="background1"/>
            </w:tcBorders>
            <w:shd w:val="clear" w:color="auto" w:fill="D9D9D9" w:themeFill="background1" w:themeFillShade="D9"/>
            <w:noWrap/>
            <w:vAlign w:val="bottom"/>
            <w:hideMark/>
          </w:tcPr>
          <w:p w14:paraId="0348A370"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9,022.0</w:t>
            </w:r>
          </w:p>
        </w:tc>
        <w:tc>
          <w:tcPr>
            <w:tcW w:w="806" w:type="dxa"/>
            <w:tcBorders>
              <w:top w:val="single" w:sz="4" w:space="0" w:color="auto"/>
              <w:left w:val="nil"/>
              <w:bottom w:val="single" w:sz="4" w:space="0" w:color="auto"/>
              <w:right w:val="nil"/>
            </w:tcBorders>
            <w:shd w:val="clear" w:color="auto" w:fill="D9D9D9" w:themeFill="background1" w:themeFillShade="D9"/>
            <w:noWrap/>
            <w:vAlign w:val="bottom"/>
            <w:hideMark/>
          </w:tcPr>
          <w:p w14:paraId="14B2AFF2"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19.8</w:t>
            </w:r>
          </w:p>
        </w:tc>
        <w:tc>
          <w:tcPr>
            <w:tcW w:w="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614897F"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2.1</w:t>
            </w:r>
          </w:p>
        </w:tc>
      </w:tr>
      <w:tr w:rsidR="00EC62A2" w14:paraId="1D6FBF8D"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72E28AFF" w14:textId="77777777" w:rsidR="00EC62A2" w:rsidRPr="0036109B" w:rsidRDefault="00EC62A2" w:rsidP="00CF7FFA">
            <w:pPr>
              <w:spacing w:after="0" w:line="240" w:lineRule="auto"/>
              <w:ind w:left="204"/>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India</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77FB498D"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0.9</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7E419C3B"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8,907.6</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361386EF"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10,894.5</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262C5046"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22.3</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0D1051EB"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0.1</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46235899"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496.9</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550AB036"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1,077.6</w:t>
            </w:r>
          </w:p>
        </w:tc>
        <w:tc>
          <w:tcPr>
            <w:tcW w:w="806" w:type="dxa"/>
            <w:tcBorders>
              <w:top w:val="nil"/>
              <w:left w:val="nil"/>
              <w:bottom w:val="single" w:sz="4" w:space="0" w:color="FFFFFF" w:themeColor="background1"/>
              <w:right w:val="nil"/>
            </w:tcBorders>
            <w:shd w:val="clear" w:color="auto" w:fill="auto"/>
            <w:noWrap/>
            <w:vAlign w:val="bottom"/>
            <w:hideMark/>
          </w:tcPr>
          <w:p w14:paraId="1616DE2A"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116.8</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06559CDF"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9.9</w:t>
            </w:r>
          </w:p>
        </w:tc>
      </w:tr>
      <w:tr w:rsidR="00EC62A2" w14:paraId="39284E81"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631441F6" w14:textId="77777777" w:rsidR="00EC62A2" w:rsidRPr="0036109B" w:rsidRDefault="00EC62A2" w:rsidP="00CF7FFA">
            <w:pPr>
              <w:spacing w:after="0" w:line="240" w:lineRule="auto"/>
              <w:ind w:left="204"/>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Thailand</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1B336DFC"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0.1</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1F0F1A71"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2,187.8</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217615E1"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1,823.5</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4A320E63"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-16.6</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7D5EC7E6"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0.0</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3827BDE3"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532.5</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67AC86B4"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302.6</w:t>
            </w:r>
          </w:p>
        </w:tc>
        <w:tc>
          <w:tcPr>
            <w:tcW w:w="806" w:type="dxa"/>
            <w:tcBorders>
              <w:top w:val="nil"/>
              <w:left w:val="nil"/>
              <w:bottom w:val="single" w:sz="4" w:space="0" w:color="FFFFFF" w:themeColor="background1"/>
              <w:right w:val="nil"/>
            </w:tcBorders>
            <w:shd w:val="clear" w:color="auto" w:fill="auto"/>
            <w:noWrap/>
            <w:vAlign w:val="bottom"/>
            <w:hideMark/>
          </w:tcPr>
          <w:p w14:paraId="60B88E0A"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−43.2</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232E0FFE"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16.6</w:t>
            </w:r>
          </w:p>
        </w:tc>
      </w:tr>
      <w:tr w:rsidR="00EC62A2" w14:paraId="580D9D69"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5A586C6D" w14:textId="77777777" w:rsidR="00EC62A2" w:rsidRPr="0036109B" w:rsidRDefault="00EC62A2" w:rsidP="00CF7FFA">
            <w:pPr>
              <w:spacing w:after="0" w:line="240" w:lineRule="auto"/>
              <w:ind w:left="204"/>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Vietnam</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0D4468F8"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2.2</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147B9DA1"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17,264.7</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655AF16B"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27,054.0</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6CEC7E18"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56.7</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47AE51F5"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0.0</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058B0BEF"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188.4</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425580D4"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86.0</w:t>
            </w:r>
          </w:p>
        </w:tc>
        <w:tc>
          <w:tcPr>
            <w:tcW w:w="806" w:type="dxa"/>
            <w:tcBorders>
              <w:top w:val="nil"/>
              <w:left w:val="nil"/>
              <w:bottom w:val="single" w:sz="4" w:space="0" w:color="FFFFFF" w:themeColor="background1"/>
              <w:right w:val="nil"/>
            </w:tcBorders>
            <w:shd w:val="clear" w:color="auto" w:fill="auto"/>
            <w:noWrap/>
            <w:vAlign w:val="bottom"/>
            <w:hideMark/>
          </w:tcPr>
          <w:p w14:paraId="653C16E9"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−54.4</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4D47D6F0"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0.3</w:t>
            </w:r>
          </w:p>
        </w:tc>
      </w:tr>
      <w:tr w:rsidR="00EC62A2" w14:paraId="5C93773C"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1D5CB863" w14:textId="77777777" w:rsidR="00EC62A2" w:rsidRPr="0036109B" w:rsidRDefault="00EC62A2" w:rsidP="00CF7FFA">
            <w:pPr>
              <w:spacing w:after="0" w:line="240" w:lineRule="auto"/>
              <w:ind w:left="204"/>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Cambodia</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091A6F62"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0.0</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562FA5AB"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0.0</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7CF36B42"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5.3</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2166B086"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 xml:space="preserve">– </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7B8ECDBB"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0.0</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307782F5"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688.9</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73E7CCF0"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371.8</w:t>
            </w:r>
          </w:p>
        </w:tc>
        <w:tc>
          <w:tcPr>
            <w:tcW w:w="806" w:type="dxa"/>
            <w:tcBorders>
              <w:top w:val="nil"/>
              <w:left w:val="nil"/>
              <w:bottom w:val="single" w:sz="4" w:space="0" w:color="FFFFFF" w:themeColor="background1"/>
              <w:right w:val="nil"/>
            </w:tcBorders>
            <w:shd w:val="clear" w:color="auto" w:fill="auto"/>
            <w:noWrap/>
            <w:vAlign w:val="bottom"/>
            <w:hideMark/>
          </w:tcPr>
          <w:p w14:paraId="1EAE0E86"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−46.0</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166FDD8F"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6,981.6</w:t>
            </w:r>
          </w:p>
        </w:tc>
      </w:tr>
      <w:tr w:rsidR="00EC62A2" w14:paraId="10D298DC"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20523328" w14:textId="77777777" w:rsidR="00EC62A2" w:rsidRPr="0036109B" w:rsidRDefault="00EC62A2" w:rsidP="00CF7FFA">
            <w:pPr>
              <w:spacing w:after="0" w:line="240" w:lineRule="auto"/>
              <w:ind w:left="204"/>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Indonesia</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0C8150C3"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2.1</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58040A67"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32,436.7</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2E0FE8C9"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25,696.1</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336238EB"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−20.8</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5A2E574D"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0.0</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3ED80D33"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237.5</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017F2A68"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182.5</w:t>
            </w:r>
          </w:p>
        </w:tc>
        <w:tc>
          <w:tcPr>
            <w:tcW w:w="806" w:type="dxa"/>
            <w:tcBorders>
              <w:top w:val="nil"/>
              <w:left w:val="nil"/>
              <w:bottom w:val="single" w:sz="4" w:space="0" w:color="FFFFFF" w:themeColor="background1"/>
              <w:right w:val="nil"/>
            </w:tcBorders>
            <w:shd w:val="clear" w:color="auto" w:fill="auto"/>
            <w:noWrap/>
            <w:vAlign w:val="bottom"/>
            <w:hideMark/>
          </w:tcPr>
          <w:p w14:paraId="068A9933"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−23.2</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0E23DC99"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0.7</w:t>
            </w:r>
          </w:p>
        </w:tc>
      </w:tr>
      <w:tr w:rsidR="00EC62A2" w14:paraId="41CF099F"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7A3ED7C3" w14:textId="77777777" w:rsidR="00EC62A2" w:rsidRPr="0036109B" w:rsidRDefault="00EC62A2" w:rsidP="00CF7FFA">
            <w:pPr>
              <w:spacing w:after="0" w:line="240" w:lineRule="auto"/>
              <w:ind w:left="204"/>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Malaysia</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57E84DCE"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0.4</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05FDAE88"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3,989.4</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701D50F3"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4,459.3</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2FB7674D"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11.8</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2A02B38A"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0.0</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44AE824F"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112.7</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75C9EDFB"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42.5</w:t>
            </w:r>
          </w:p>
        </w:tc>
        <w:tc>
          <w:tcPr>
            <w:tcW w:w="806" w:type="dxa"/>
            <w:tcBorders>
              <w:top w:val="nil"/>
              <w:left w:val="nil"/>
              <w:bottom w:val="single" w:sz="4" w:space="0" w:color="FFFFFF" w:themeColor="background1"/>
              <w:right w:val="nil"/>
            </w:tcBorders>
            <w:shd w:val="clear" w:color="auto" w:fill="auto"/>
            <w:noWrap/>
            <w:vAlign w:val="bottom"/>
            <w:hideMark/>
          </w:tcPr>
          <w:p w14:paraId="5EBBBBDB"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−62.3</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63229C32"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1.0</w:t>
            </w:r>
          </w:p>
        </w:tc>
      </w:tr>
      <w:tr w:rsidR="00EC62A2" w14:paraId="4BA9EC50"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3EB10256" w14:textId="77777777" w:rsidR="00EC62A2" w:rsidRPr="0036109B" w:rsidRDefault="00EC62A2" w:rsidP="00CF7FFA">
            <w:pPr>
              <w:spacing w:after="0" w:line="240" w:lineRule="auto"/>
              <w:ind w:left="204"/>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Singapore</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27B37476"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0.0</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2A8796D4"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87.6</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2EB21331"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46.9</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0096FFEB"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−46.5</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3BE487EE"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0.1</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493F79B9"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471.2</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232D7F5B"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829.3</w:t>
            </w:r>
          </w:p>
        </w:tc>
        <w:tc>
          <w:tcPr>
            <w:tcW w:w="806" w:type="dxa"/>
            <w:tcBorders>
              <w:top w:val="nil"/>
              <w:left w:val="nil"/>
              <w:bottom w:val="single" w:sz="4" w:space="0" w:color="FFFFFF" w:themeColor="background1"/>
              <w:right w:val="nil"/>
            </w:tcBorders>
            <w:shd w:val="clear" w:color="auto" w:fill="auto"/>
            <w:noWrap/>
            <w:vAlign w:val="bottom"/>
            <w:hideMark/>
          </w:tcPr>
          <w:p w14:paraId="237B9509"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76.0</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57113EFA"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1,768.7</w:t>
            </w:r>
          </w:p>
        </w:tc>
      </w:tr>
      <w:tr w:rsidR="00EC62A2" w14:paraId="5A2DE177"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50DB9DB1" w14:textId="77777777" w:rsidR="00EC62A2" w:rsidRPr="0036109B" w:rsidRDefault="00EC62A2" w:rsidP="00CF7FFA">
            <w:pPr>
              <w:spacing w:after="0" w:line="240" w:lineRule="auto"/>
              <w:ind w:left="204"/>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Philippines</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143D66F8"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0.0</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12A3FF81"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218.9</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388DAF50"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329.2</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2E8B536D"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50.4</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320C3B64"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0.0</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1A4F270C"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180.1</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6999C848"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71.7</w:t>
            </w:r>
          </w:p>
        </w:tc>
        <w:tc>
          <w:tcPr>
            <w:tcW w:w="806" w:type="dxa"/>
            <w:tcBorders>
              <w:top w:val="nil"/>
              <w:left w:val="nil"/>
              <w:bottom w:val="single" w:sz="4" w:space="0" w:color="FFFFFF" w:themeColor="background1"/>
              <w:right w:val="nil"/>
            </w:tcBorders>
            <w:shd w:val="clear" w:color="auto" w:fill="auto"/>
            <w:noWrap/>
            <w:vAlign w:val="bottom"/>
            <w:hideMark/>
          </w:tcPr>
          <w:p w14:paraId="4BA55297"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−60.2</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205E3BEE"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21.8</w:t>
            </w:r>
          </w:p>
        </w:tc>
      </w:tr>
      <w:tr w:rsidR="00EC62A2" w14:paraId="1585CAF9"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2D2F816D" w14:textId="77777777" w:rsidR="00EC62A2" w:rsidRPr="0036109B" w:rsidRDefault="00EC62A2" w:rsidP="00CF7FFA">
            <w:pPr>
              <w:spacing w:after="0" w:line="240" w:lineRule="auto"/>
              <w:ind w:left="204"/>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China</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1284FB5B"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28.5</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12AB93D9"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302,064.1</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5B53B1BD"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350,894.1</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34D68B8F"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16.2</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25B4B602"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0.3</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20B72207"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1,736.7</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2CA11BF8"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2,337.4</w:t>
            </w:r>
          </w:p>
        </w:tc>
        <w:tc>
          <w:tcPr>
            <w:tcW w:w="806" w:type="dxa"/>
            <w:tcBorders>
              <w:top w:val="nil"/>
              <w:left w:val="nil"/>
              <w:bottom w:val="single" w:sz="4" w:space="0" w:color="FFFFFF" w:themeColor="background1"/>
              <w:right w:val="nil"/>
            </w:tcBorders>
            <w:shd w:val="clear" w:color="auto" w:fill="auto"/>
            <w:noWrap/>
            <w:vAlign w:val="bottom"/>
            <w:hideMark/>
          </w:tcPr>
          <w:p w14:paraId="3BBAC020"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34.6</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06696CF6"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0.7</w:t>
            </w:r>
          </w:p>
        </w:tc>
      </w:tr>
      <w:tr w:rsidR="00EC62A2" w14:paraId="0FEE45F3"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48C86F60" w14:textId="77777777" w:rsidR="00EC62A2" w:rsidRPr="0036109B" w:rsidRDefault="00EC62A2" w:rsidP="00CF7FFA">
            <w:pPr>
              <w:spacing w:after="0" w:line="240" w:lineRule="auto"/>
              <w:ind w:left="204"/>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South Korea</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4C658333"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0.0</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6D6726BF"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102.2</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29466AD2"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112.1</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0D7CB077"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9.7</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038A8539"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0.1</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742593D3"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521.5</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60A507BA"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607.5</w:t>
            </w:r>
          </w:p>
        </w:tc>
        <w:tc>
          <w:tcPr>
            <w:tcW w:w="806" w:type="dxa"/>
            <w:tcBorders>
              <w:top w:val="nil"/>
              <w:left w:val="nil"/>
              <w:bottom w:val="single" w:sz="4" w:space="0" w:color="FFFFFF" w:themeColor="background1"/>
              <w:right w:val="nil"/>
            </w:tcBorders>
            <w:shd w:val="clear" w:color="auto" w:fill="auto"/>
            <w:noWrap/>
            <w:vAlign w:val="bottom"/>
            <w:hideMark/>
          </w:tcPr>
          <w:p w14:paraId="36265100"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16.5</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76FE2C16"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542.0</w:t>
            </w:r>
          </w:p>
        </w:tc>
      </w:tr>
      <w:tr w:rsidR="00EC62A2" w14:paraId="5850FDD8"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42FE3BCA" w14:textId="77777777" w:rsidR="00EC62A2" w:rsidRPr="0036109B" w:rsidRDefault="00EC62A2" w:rsidP="00CF7FFA">
            <w:pPr>
              <w:spacing w:after="0" w:line="240" w:lineRule="auto"/>
              <w:ind w:left="204"/>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Japan</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2E489D49"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0.1</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32C6B863"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883.8</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0C9C70A8"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944.6</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689A8378"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6.9</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0AB27368"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0.2</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7B0203F7"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1,062.1</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175F1ADC"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1,279.9</w:t>
            </w:r>
          </w:p>
        </w:tc>
        <w:tc>
          <w:tcPr>
            <w:tcW w:w="806" w:type="dxa"/>
            <w:tcBorders>
              <w:top w:val="nil"/>
              <w:left w:val="nil"/>
              <w:bottom w:val="single" w:sz="4" w:space="0" w:color="FFFFFF" w:themeColor="background1"/>
              <w:right w:val="nil"/>
            </w:tcBorders>
            <w:shd w:val="clear" w:color="auto" w:fill="auto"/>
            <w:noWrap/>
            <w:vAlign w:val="bottom"/>
            <w:hideMark/>
          </w:tcPr>
          <w:p w14:paraId="369634C7"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20.5</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3B737B61"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135.5</w:t>
            </w:r>
          </w:p>
        </w:tc>
      </w:tr>
      <w:tr w:rsidR="00EC62A2" w14:paraId="4EA16894"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36273DDB" w14:textId="77777777" w:rsidR="00EC62A2" w:rsidRPr="0036109B" w:rsidRDefault="00EC62A2" w:rsidP="00CF7FFA">
            <w:pPr>
              <w:spacing w:after="0" w:line="240" w:lineRule="auto"/>
              <w:ind w:left="204"/>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Taiwan</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1A7CD41A"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0.1</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41E19F3E"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608.4</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07A6F767"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807.9</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2B6DD0C8"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32.8</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2EEF627F"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0.0</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30A273CF"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416.4</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6341A596"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343.9</w:t>
            </w:r>
          </w:p>
        </w:tc>
        <w:tc>
          <w:tcPr>
            <w:tcW w:w="806" w:type="dxa"/>
            <w:tcBorders>
              <w:top w:val="nil"/>
              <w:left w:val="nil"/>
              <w:bottom w:val="single" w:sz="4" w:space="0" w:color="FFFFFF" w:themeColor="background1"/>
              <w:right w:val="nil"/>
            </w:tcBorders>
            <w:shd w:val="clear" w:color="auto" w:fill="auto"/>
            <w:noWrap/>
            <w:vAlign w:val="bottom"/>
            <w:hideMark/>
          </w:tcPr>
          <w:p w14:paraId="687A6014"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−17.4</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39C4D162"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42.6</w:t>
            </w:r>
          </w:p>
        </w:tc>
      </w:tr>
      <w:tr w:rsidR="00EC62A2" w14:paraId="05A840FE" w14:textId="77777777" w:rsidTr="00CF7FFA">
        <w:tc>
          <w:tcPr>
            <w:tcW w:w="1838" w:type="dxa"/>
            <w:tcBorders>
              <w:top w:val="nil"/>
              <w:left w:val="single" w:sz="4" w:space="0" w:color="auto"/>
              <w:bottom w:val="single" w:sz="4" w:space="0" w:color="FFFFFF" w:themeColor="background1"/>
              <w:right w:val="nil"/>
            </w:tcBorders>
            <w:shd w:val="clear" w:color="auto" w:fill="auto"/>
            <w:vAlign w:val="bottom"/>
            <w:hideMark/>
          </w:tcPr>
          <w:p w14:paraId="2135D6A6" w14:textId="77777777" w:rsidR="00EC62A2" w:rsidRPr="0036109B" w:rsidRDefault="00EC62A2" w:rsidP="00CF7FFA">
            <w:pPr>
              <w:spacing w:after="0" w:line="240" w:lineRule="auto"/>
              <w:ind w:left="204"/>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Hongkong</w:t>
            </w:r>
          </w:p>
        </w:tc>
        <w:tc>
          <w:tcPr>
            <w:tcW w:w="805" w:type="dxa"/>
            <w:tcBorders>
              <w:top w:val="nil"/>
              <w:left w:val="single" w:sz="4" w:space="0" w:color="auto"/>
              <w:bottom w:val="single" w:sz="4" w:space="0" w:color="FFFFFF" w:themeColor="background1"/>
              <w:right w:val="single" w:sz="4" w:space="0" w:color="FFFFFF" w:themeColor="background1"/>
            </w:tcBorders>
            <w:shd w:val="clear" w:color="auto" w:fill="auto"/>
            <w:vAlign w:val="bottom"/>
            <w:hideMark/>
          </w:tcPr>
          <w:p w14:paraId="297872D3"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0.0</w:t>
            </w:r>
          </w:p>
        </w:tc>
        <w:tc>
          <w:tcPr>
            <w:tcW w:w="896" w:type="dxa"/>
            <w:tcBorders>
              <w:top w:val="nil"/>
              <w:left w:val="nil"/>
              <w:bottom w:val="single" w:sz="4" w:space="0" w:color="FFFFFF" w:themeColor="background1"/>
              <w:right w:val="single" w:sz="4" w:space="0" w:color="FFFFFF" w:themeColor="background1"/>
            </w:tcBorders>
            <w:shd w:val="clear" w:color="auto" w:fill="auto"/>
            <w:vAlign w:val="bottom"/>
            <w:hideMark/>
          </w:tcPr>
          <w:p w14:paraId="0CD9DE4D"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692.5</w:t>
            </w:r>
          </w:p>
        </w:tc>
        <w:tc>
          <w:tcPr>
            <w:tcW w:w="992" w:type="dxa"/>
            <w:tcBorders>
              <w:top w:val="nil"/>
              <w:left w:val="nil"/>
              <w:bottom w:val="single" w:sz="4" w:space="0" w:color="FFFFFF" w:themeColor="background1"/>
              <w:right w:val="single" w:sz="4" w:space="0" w:color="FFFFFF" w:themeColor="background1"/>
            </w:tcBorders>
            <w:shd w:val="clear" w:color="auto" w:fill="auto"/>
            <w:vAlign w:val="bottom"/>
            <w:hideMark/>
          </w:tcPr>
          <w:p w14:paraId="1D31D4B1"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264.5</w:t>
            </w:r>
          </w:p>
        </w:tc>
        <w:tc>
          <w:tcPr>
            <w:tcW w:w="735" w:type="dxa"/>
            <w:tcBorders>
              <w:top w:val="nil"/>
              <w:left w:val="nil"/>
              <w:bottom w:val="single" w:sz="4" w:space="0" w:color="FFFFFF" w:themeColor="background1"/>
              <w:right w:val="single" w:sz="4" w:space="0" w:color="auto"/>
            </w:tcBorders>
            <w:shd w:val="clear" w:color="auto" w:fill="auto"/>
            <w:noWrap/>
            <w:vAlign w:val="bottom"/>
            <w:hideMark/>
          </w:tcPr>
          <w:p w14:paraId="1BB93DEE"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−61.8</w:t>
            </w:r>
          </w:p>
        </w:tc>
        <w:tc>
          <w:tcPr>
            <w:tcW w:w="638"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2C898CB5"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0.2</w:t>
            </w:r>
          </w:p>
        </w:tc>
        <w:tc>
          <w:tcPr>
            <w:tcW w:w="805"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33E7CCE7"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822.7</w:t>
            </w:r>
          </w:p>
        </w:tc>
        <w:tc>
          <w:tcPr>
            <w:tcW w:w="806" w:type="dxa"/>
            <w:tcBorders>
              <w:top w:val="nil"/>
              <w:left w:val="nil"/>
              <w:bottom w:val="single" w:sz="4" w:space="0" w:color="FFFFFF" w:themeColor="background1"/>
              <w:right w:val="single" w:sz="4" w:space="0" w:color="FFFFFF" w:themeColor="background1"/>
            </w:tcBorders>
            <w:shd w:val="clear" w:color="auto" w:fill="auto"/>
            <w:noWrap/>
            <w:vAlign w:val="bottom"/>
            <w:hideMark/>
          </w:tcPr>
          <w:p w14:paraId="5EAC88E4"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1,284.0</w:t>
            </w:r>
          </w:p>
        </w:tc>
        <w:tc>
          <w:tcPr>
            <w:tcW w:w="806" w:type="dxa"/>
            <w:tcBorders>
              <w:top w:val="nil"/>
              <w:left w:val="nil"/>
              <w:bottom w:val="single" w:sz="4" w:space="0" w:color="FFFFFF" w:themeColor="background1"/>
              <w:right w:val="nil"/>
            </w:tcBorders>
            <w:shd w:val="clear" w:color="auto" w:fill="auto"/>
            <w:noWrap/>
            <w:vAlign w:val="bottom"/>
            <w:hideMark/>
          </w:tcPr>
          <w:p w14:paraId="1C0C7DE7"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56.1</w:t>
            </w:r>
          </w:p>
        </w:tc>
        <w:tc>
          <w:tcPr>
            <w:tcW w:w="784"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2646D00D" w14:textId="77777777" w:rsidR="00EC62A2" w:rsidRPr="0036109B" w:rsidRDefault="00EC62A2" w:rsidP="00CF7FFA">
            <w:pPr>
              <w:spacing w:after="0" w:line="240" w:lineRule="auto"/>
              <w:jc w:val="right"/>
              <w:rPr>
                <w:rFonts w:eastAsia="Times New Roman" w:cstheme="minorHAnsi"/>
                <w:i/>
                <w:iCs/>
                <w:color w:val="000000"/>
                <w:sz w:val="14"/>
                <w:szCs w:val="14"/>
                <w:lang w:eastAsia="nl-BE"/>
              </w:rPr>
            </w:pPr>
            <w:r w:rsidRPr="0036109B">
              <w:rPr>
                <w:rFonts w:eastAsia="Times New Roman" w:cstheme="minorHAnsi"/>
                <w:i/>
                <w:iCs/>
                <w:color w:val="000000"/>
                <w:sz w:val="14"/>
                <w:szCs w:val="14"/>
                <w:lang w:val="en" w:eastAsia="nl-BE"/>
              </w:rPr>
              <w:t>485.4</w:t>
            </w:r>
          </w:p>
        </w:tc>
      </w:tr>
      <w:tr w:rsidR="00EC62A2" w14:paraId="0784FF6A" w14:textId="77777777" w:rsidTr="00CF7FFA">
        <w:tc>
          <w:tcPr>
            <w:tcW w:w="1838" w:type="dxa"/>
            <w:tcBorders>
              <w:top w:val="single" w:sz="4" w:space="0" w:color="auto"/>
              <w:left w:val="single" w:sz="4" w:space="0" w:color="auto"/>
              <w:bottom w:val="single" w:sz="4" w:space="0" w:color="auto"/>
              <w:right w:val="nil"/>
            </w:tcBorders>
            <w:shd w:val="clear" w:color="auto" w:fill="D9D9D9" w:themeFill="background1" w:themeFillShade="D9"/>
            <w:vAlign w:val="bottom"/>
            <w:hideMark/>
          </w:tcPr>
          <w:p w14:paraId="22D20194" w14:textId="77777777" w:rsidR="00EC62A2" w:rsidRPr="0036109B" w:rsidRDefault="00EC62A2" w:rsidP="00CF7FFA">
            <w:pPr>
              <w:spacing w:after="0" w:line="240" w:lineRule="auto"/>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Oceania</w:t>
            </w:r>
          </w:p>
        </w:tc>
        <w:tc>
          <w:tcPr>
            <w:tcW w:w="805" w:type="dxa"/>
            <w:tcBorders>
              <w:top w:val="single" w:sz="4" w:space="0" w:color="auto"/>
              <w:left w:val="single" w:sz="4" w:space="0" w:color="auto"/>
              <w:bottom w:val="single" w:sz="4" w:space="0" w:color="auto"/>
              <w:right w:val="single" w:sz="4" w:space="0" w:color="FFFFFF" w:themeColor="background1"/>
            </w:tcBorders>
            <w:shd w:val="clear" w:color="auto" w:fill="D9D9D9" w:themeFill="background1" w:themeFillShade="D9"/>
            <w:vAlign w:val="bottom"/>
            <w:hideMark/>
          </w:tcPr>
          <w:p w14:paraId="6D93522B"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0.0</w:t>
            </w:r>
          </w:p>
        </w:tc>
        <w:tc>
          <w:tcPr>
            <w:tcW w:w="896" w:type="dxa"/>
            <w:tcBorders>
              <w:top w:val="single" w:sz="4" w:space="0" w:color="auto"/>
              <w:left w:val="nil"/>
              <w:bottom w:val="single" w:sz="4" w:space="0" w:color="auto"/>
              <w:right w:val="single" w:sz="4" w:space="0" w:color="FFFFFF" w:themeColor="background1"/>
            </w:tcBorders>
            <w:shd w:val="clear" w:color="auto" w:fill="D9D9D9" w:themeFill="background1" w:themeFillShade="D9"/>
            <w:vAlign w:val="bottom"/>
            <w:hideMark/>
          </w:tcPr>
          <w:p w14:paraId="47C43FCB"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214.4</w:t>
            </w:r>
          </w:p>
        </w:tc>
        <w:tc>
          <w:tcPr>
            <w:tcW w:w="992" w:type="dxa"/>
            <w:tcBorders>
              <w:top w:val="single" w:sz="4" w:space="0" w:color="auto"/>
              <w:left w:val="nil"/>
              <w:bottom w:val="single" w:sz="4" w:space="0" w:color="auto"/>
              <w:right w:val="single" w:sz="4" w:space="0" w:color="FFFFFF" w:themeColor="background1"/>
            </w:tcBorders>
            <w:shd w:val="clear" w:color="auto" w:fill="D9D9D9" w:themeFill="background1" w:themeFillShade="D9"/>
            <w:vAlign w:val="bottom"/>
            <w:hideMark/>
          </w:tcPr>
          <w:p w14:paraId="4ED03878"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220.9</w:t>
            </w:r>
          </w:p>
        </w:tc>
        <w:tc>
          <w:tcPr>
            <w:tcW w:w="73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51338C0"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3.0</w:t>
            </w:r>
          </w:p>
        </w:tc>
        <w:tc>
          <w:tcPr>
            <w:tcW w:w="638" w:type="dxa"/>
            <w:tcBorders>
              <w:top w:val="single" w:sz="4" w:space="0" w:color="auto"/>
              <w:left w:val="nil"/>
              <w:bottom w:val="single" w:sz="4" w:space="0" w:color="auto"/>
              <w:right w:val="single" w:sz="4" w:space="0" w:color="FFFFFF" w:themeColor="background1"/>
            </w:tcBorders>
            <w:shd w:val="clear" w:color="auto" w:fill="D9D9D9" w:themeFill="background1" w:themeFillShade="D9"/>
            <w:noWrap/>
            <w:vAlign w:val="bottom"/>
            <w:hideMark/>
          </w:tcPr>
          <w:p w14:paraId="6D74D977"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0.3</w:t>
            </w:r>
          </w:p>
        </w:tc>
        <w:tc>
          <w:tcPr>
            <w:tcW w:w="805" w:type="dxa"/>
            <w:tcBorders>
              <w:top w:val="single" w:sz="4" w:space="0" w:color="auto"/>
              <w:left w:val="nil"/>
              <w:bottom w:val="single" w:sz="4" w:space="0" w:color="auto"/>
              <w:right w:val="single" w:sz="4" w:space="0" w:color="FFFFFF" w:themeColor="background1"/>
            </w:tcBorders>
            <w:shd w:val="clear" w:color="auto" w:fill="D9D9D9" w:themeFill="background1" w:themeFillShade="D9"/>
            <w:noWrap/>
            <w:vAlign w:val="bottom"/>
            <w:hideMark/>
          </w:tcPr>
          <w:p w14:paraId="36C7A184"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1,975.2</w:t>
            </w:r>
          </w:p>
        </w:tc>
        <w:tc>
          <w:tcPr>
            <w:tcW w:w="806" w:type="dxa"/>
            <w:tcBorders>
              <w:top w:val="single" w:sz="4" w:space="0" w:color="auto"/>
              <w:left w:val="nil"/>
              <w:bottom w:val="single" w:sz="4" w:space="0" w:color="auto"/>
              <w:right w:val="single" w:sz="4" w:space="0" w:color="FFFFFF" w:themeColor="background1"/>
            </w:tcBorders>
            <w:shd w:val="clear" w:color="auto" w:fill="D9D9D9" w:themeFill="background1" w:themeFillShade="D9"/>
            <w:noWrap/>
            <w:vAlign w:val="bottom"/>
            <w:hideMark/>
          </w:tcPr>
          <w:p w14:paraId="238C2563"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2,470.8</w:t>
            </w:r>
          </w:p>
        </w:tc>
        <w:tc>
          <w:tcPr>
            <w:tcW w:w="806" w:type="dxa"/>
            <w:tcBorders>
              <w:top w:val="single" w:sz="4" w:space="0" w:color="auto"/>
              <w:left w:val="nil"/>
              <w:bottom w:val="single" w:sz="4" w:space="0" w:color="auto"/>
              <w:right w:val="nil"/>
            </w:tcBorders>
            <w:shd w:val="clear" w:color="auto" w:fill="D9D9D9" w:themeFill="background1" w:themeFillShade="D9"/>
            <w:noWrap/>
            <w:vAlign w:val="bottom"/>
            <w:hideMark/>
          </w:tcPr>
          <w:p w14:paraId="52831809"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25.1</w:t>
            </w:r>
          </w:p>
        </w:tc>
        <w:tc>
          <w:tcPr>
            <w:tcW w:w="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A3DFFA4" w14:textId="77777777" w:rsidR="00EC62A2" w:rsidRPr="0036109B" w:rsidRDefault="00EC62A2" w:rsidP="00CF7FFA">
            <w:pPr>
              <w:spacing w:after="0" w:line="240" w:lineRule="auto"/>
              <w:jc w:val="right"/>
              <w:rPr>
                <w:rFonts w:eastAsia="Times New Roman" w:cstheme="minorHAnsi"/>
                <w:b/>
                <w:bCs/>
                <w:color w:val="000000"/>
                <w:sz w:val="14"/>
                <w:szCs w:val="14"/>
                <w:lang w:eastAsia="nl-BE"/>
              </w:rPr>
            </w:pPr>
            <w:r w:rsidRPr="0036109B">
              <w:rPr>
                <w:rFonts w:eastAsia="Times New Roman" w:cstheme="minorHAnsi"/>
                <w:b/>
                <w:bCs/>
                <w:color w:val="000000"/>
                <w:sz w:val="14"/>
                <w:szCs w:val="14"/>
                <w:lang w:val="en" w:eastAsia="nl-BE"/>
              </w:rPr>
              <w:t>1,118.7</w:t>
            </w:r>
          </w:p>
        </w:tc>
      </w:tr>
      <w:tr w:rsidR="00EC62A2" w14:paraId="58D878AA" w14:textId="77777777" w:rsidTr="00CF7FFA">
        <w:tc>
          <w:tcPr>
            <w:tcW w:w="1838" w:type="dxa"/>
            <w:tcBorders>
              <w:top w:val="single" w:sz="4" w:space="0" w:color="auto"/>
              <w:left w:val="single" w:sz="4" w:space="0" w:color="auto"/>
              <w:bottom w:val="single" w:sz="4" w:space="0" w:color="auto"/>
              <w:right w:val="nil"/>
            </w:tcBorders>
            <w:shd w:val="clear" w:color="auto" w:fill="D9D9D9" w:themeFill="background1" w:themeFillShade="D9"/>
            <w:vAlign w:val="bottom"/>
            <w:hideMark/>
          </w:tcPr>
          <w:p w14:paraId="144727E7" w14:textId="77777777" w:rsidR="00EC62A2" w:rsidRPr="0036109B" w:rsidRDefault="00EC62A2" w:rsidP="00CF7FFA">
            <w:pPr>
              <w:spacing w:after="0" w:line="240" w:lineRule="auto"/>
              <w:rPr>
                <w:rFonts w:eastAsia="Times New Roman" w:cstheme="minorHAnsi"/>
                <w:b/>
                <w:bCs/>
                <w:sz w:val="14"/>
                <w:szCs w:val="14"/>
                <w:lang w:eastAsia="nl-BE"/>
              </w:rPr>
            </w:pPr>
            <w:r w:rsidRPr="0036109B">
              <w:rPr>
                <w:rFonts w:eastAsia="Times New Roman" w:cstheme="minorHAnsi"/>
                <w:b/>
                <w:bCs/>
                <w:sz w:val="14"/>
                <w:szCs w:val="14"/>
                <w:lang w:val="en" w:eastAsia="nl-BE"/>
              </w:rPr>
              <w:t>Total</w:t>
            </w:r>
          </w:p>
        </w:tc>
        <w:tc>
          <w:tcPr>
            <w:tcW w:w="805" w:type="dxa"/>
            <w:tcBorders>
              <w:top w:val="single" w:sz="4" w:space="0" w:color="auto"/>
              <w:left w:val="single" w:sz="4" w:space="0" w:color="auto"/>
              <w:bottom w:val="single" w:sz="4" w:space="0" w:color="auto"/>
              <w:right w:val="nil"/>
            </w:tcBorders>
            <w:shd w:val="clear" w:color="auto" w:fill="D9D9D9" w:themeFill="background1" w:themeFillShade="D9"/>
            <w:vAlign w:val="bottom"/>
            <w:hideMark/>
          </w:tcPr>
          <w:p w14:paraId="08D28AB5" w14:textId="77777777" w:rsidR="00EC62A2" w:rsidRPr="0036109B" w:rsidRDefault="00EC62A2" w:rsidP="00CF7FFA">
            <w:pPr>
              <w:spacing w:after="0" w:line="240" w:lineRule="auto"/>
              <w:jc w:val="right"/>
              <w:rPr>
                <w:rFonts w:eastAsia="Times New Roman" w:cstheme="minorHAnsi"/>
                <w:b/>
                <w:bCs/>
                <w:sz w:val="14"/>
                <w:szCs w:val="14"/>
                <w:lang w:eastAsia="nl-BE"/>
              </w:rPr>
            </w:pPr>
            <w:r w:rsidRPr="0036109B">
              <w:rPr>
                <w:rFonts w:eastAsia="Times New Roman" w:cstheme="minorHAnsi"/>
                <w:b/>
                <w:bCs/>
                <w:sz w:val="14"/>
                <w:szCs w:val="14"/>
                <w:lang w:val="en" w:eastAsia="nl-BE"/>
              </w:rPr>
              <w:t>100.0</w:t>
            </w:r>
          </w:p>
        </w:tc>
        <w:tc>
          <w:tcPr>
            <w:tcW w:w="896" w:type="dxa"/>
            <w:tcBorders>
              <w:top w:val="single" w:sz="4" w:space="0" w:color="auto"/>
              <w:left w:val="nil"/>
              <w:bottom w:val="single" w:sz="4" w:space="0" w:color="auto"/>
              <w:right w:val="nil"/>
            </w:tcBorders>
            <w:shd w:val="clear" w:color="auto" w:fill="D9D9D9" w:themeFill="background1" w:themeFillShade="D9"/>
            <w:vAlign w:val="bottom"/>
            <w:hideMark/>
          </w:tcPr>
          <w:p w14:paraId="102007AA" w14:textId="77777777" w:rsidR="00EC62A2" w:rsidRPr="0036109B" w:rsidRDefault="00EC62A2" w:rsidP="00CF7FFA">
            <w:pPr>
              <w:spacing w:after="0" w:line="240" w:lineRule="auto"/>
              <w:jc w:val="right"/>
              <w:rPr>
                <w:rFonts w:eastAsia="Times New Roman" w:cstheme="minorHAnsi"/>
                <w:b/>
                <w:bCs/>
                <w:sz w:val="14"/>
                <w:szCs w:val="14"/>
                <w:lang w:eastAsia="nl-BE"/>
              </w:rPr>
            </w:pPr>
            <w:r w:rsidRPr="0036109B">
              <w:rPr>
                <w:rFonts w:eastAsia="Times New Roman" w:cstheme="minorHAnsi"/>
                <w:b/>
                <w:bCs/>
                <w:sz w:val="14"/>
                <w:szCs w:val="14"/>
                <w:lang w:val="en" w:eastAsia="nl-BE"/>
              </w:rPr>
              <w:t>1,219,655.9</w:t>
            </w:r>
          </w:p>
        </w:tc>
        <w:tc>
          <w:tcPr>
            <w:tcW w:w="992" w:type="dxa"/>
            <w:tcBorders>
              <w:top w:val="single" w:sz="4" w:space="0" w:color="auto"/>
              <w:left w:val="nil"/>
              <w:bottom w:val="single" w:sz="4" w:space="0" w:color="auto"/>
              <w:right w:val="nil"/>
            </w:tcBorders>
            <w:shd w:val="clear" w:color="auto" w:fill="D9D9D9" w:themeFill="background1" w:themeFillShade="D9"/>
            <w:vAlign w:val="bottom"/>
            <w:hideMark/>
          </w:tcPr>
          <w:p w14:paraId="37D2CA4B" w14:textId="77777777" w:rsidR="00EC62A2" w:rsidRPr="0036109B" w:rsidRDefault="00EC62A2" w:rsidP="00CF7FFA">
            <w:pPr>
              <w:spacing w:after="0" w:line="240" w:lineRule="auto"/>
              <w:jc w:val="right"/>
              <w:rPr>
                <w:rFonts w:eastAsia="Times New Roman" w:cstheme="minorHAnsi"/>
                <w:b/>
                <w:bCs/>
                <w:sz w:val="14"/>
                <w:szCs w:val="14"/>
                <w:lang w:eastAsia="nl-BE"/>
              </w:rPr>
            </w:pPr>
            <w:r w:rsidRPr="0036109B">
              <w:rPr>
                <w:rFonts w:eastAsia="Times New Roman" w:cstheme="minorHAnsi"/>
                <w:b/>
                <w:bCs/>
                <w:sz w:val="14"/>
                <w:szCs w:val="14"/>
                <w:lang w:val="en" w:eastAsia="nl-BE"/>
              </w:rPr>
              <w:t>1,232,934.8</w:t>
            </w:r>
          </w:p>
        </w:tc>
        <w:tc>
          <w:tcPr>
            <w:tcW w:w="735" w:type="dxa"/>
            <w:tcBorders>
              <w:top w:val="single" w:sz="4" w:space="0" w:color="auto"/>
              <w:left w:val="nil"/>
              <w:bottom w:val="single" w:sz="4" w:space="0" w:color="auto"/>
              <w:right w:val="nil"/>
            </w:tcBorders>
            <w:shd w:val="clear" w:color="auto" w:fill="D9D9D9" w:themeFill="background1" w:themeFillShade="D9"/>
            <w:noWrap/>
            <w:vAlign w:val="bottom"/>
            <w:hideMark/>
          </w:tcPr>
          <w:p w14:paraId="2CA7684D" w14:textId="77777777" w:rsidR="00EC62A2" w:rsidRPr="0036109B" w:rsidRDefault="00EC62A2" w:rsidP="00CF7FFA">
            <w:pPr>
              <w:spacing w:after="0" w:line="240" w:lineRule="auto"/>
              <w:jc w:val="right"/>
              <w:rPr>
                <w:rFonts w:eastAsia="Times New Roman" w:cstheme="minorHAnsi"/>
                <w:b/>
                <w:bCs/>
                <w:sz w:val="14"/>
                <w:szCs w:val="14"/>
                <w:lang w:eastAsia="nl-BE"/>
              </w:rPr>
            </w:pPr>
            <w:r w:rsidRPr="0036109B">
              <w:rPr>
                <w:rFonts w:eastAsia="Times New Roman" w:cstheme="minorHAnsi"/>
                <w:b/>
                <w:bCs/>
                <w:sz w:val="14"/>
                <w:szCs w:val="14"/>
                <w:lang w:val="en" w:eastAsia="nl-BE"/>
              </w:rPr>
              <w:t>1.1</w:t>
            </w:r>
          </w:p>
        </w:tc>
        <w:tc>
          <w:tcPr>
            <w:tcW w:w="638" w:type="dxa"/>
            <w:tcBorders>
              <w:top w:val="single" w:sz="4" w:space="0" w:color="auto"/>
              <w:left w:val="single" w:sz="4" w:space="0" w:color="auto"/>
              <w:bottom w:val="single" w:sz="4" w:space="0" w:color="auto"/>
              <w:right w:val="nil"/>
            </w:tcBorders>
            <w:shd w:val="clear" w:color="auto" w:fill="D9D9D9" w:themeFill="background1" w:themeFillShade="D9"/>
            <w:vAlign w:val="bottom"/>
            <w:hideMark/>
          </w:tcPr>
          <w:p w14:paraId="2D592FA2" w14:textId="77777777" w:rsidR="00EC62A2" w:rsidRPr="0036109B" w:rsidRDefault="00EC62A2" w:rsidP="00CF7FFA">
            <w:pPr>
              <w:spacing w:after="0" w:line="240" w:lineRule="auto"/>
              <w:jc w:val="right"/>
              <w:rPr>
                <w:rFonts w:eastAsia="Times New Roman" w:cstheme="minorHAnsi"/>
                <w:b/>
                <w:bCs/>
                <w:sz w:val="14"/>
                <w:szCs w:val="14"/>
                <w:lang w:eastAsia="nl-BE"/>
              </w:rPr>
            </w:pPr>
            <w:r w:rsidRPr="0036109B">
              <w:rPr>
                <w:rFonts w:eastAsia="Times New Roman" w:cstheme="minorHAnsi"/>
                <w:b/>
                <w:bCs/>
                <w:sz w:val="14"/>
                <w:szCs w:val="14"/>
                <w:lang w:val="en" w:eastAsia="nl-BE"/>
              </w:rPr>
              <w:t>100.0</w:t>
            </w:r>
          </w:p>
        </w:tc>
        <w:tc>
          <w:tcPr>
            <w:tcW w:w="805" w:type="dxa"/>
            <w:tcBorders>
              <w:top w:val="single" w:sz="4" w:space="0" w:color="auto"/>
              <w:left w:val="nil"/>
              <w:bottom w:val="single" w:sz="4" w:space="0" w:color="auto"/>
              <w:right w:val="nil"/>
            </w:tcBorders>
            <w:shd w:val="clear" w:color="auto" w:fill="D9D9D9" w:themeFill="background1" w:themeFillShade="D9"/>
            <w:vAlign w:val="bottom"/>
            <w:hideMark/>
          </w:tcPr>
          <w:p w14:paraId="518535A3" w14:textId="77777777" w:rsidR="00EC62A2" w:rsidRPr="0036109B" w:rsidRDefault="00EC62A2" w:rsidP="00CF7FFA">
            <w:pPr>
              <w:spacing w:after="0" w:line="240" w:lineRule="auto"/>
              <w:jc w:val="right"/>
              <w:rPr>
                <w:rFonts w:eastAsia="Times New Roman" w:cstheme="minorHAnsi"/>
                <w:b/>
                <w:bCs/>
                <w:sz w:val="14"/>
                <w:szCs w:val="14"/>
                <w:lang w:eastAsia="nl-BE"/>
              </w:rPr>
            </w:pPr>
            <w:r w:rsidRPr="0036109B">
              <w:rPr>
                <w:rFonts w:eastAsia="Times New Roman" w:cstheme="minorHAnsi"/>
                <w:b/>
                <w:bCs/>
                <w:sz w:val="14"/>
                <w:szCs w:val="14"/>
                <w:lang w:val="en" w:eastAsia="nl-BE"/>
              </w:rPr>
              <w:t>804,048.7</w:t>
            </w:r>
          </w:p>
        </w:tc>
        <w:tc>
          <w:tcPr>
            <w:tcW w:w="806" w:type="dxa"/>
            <w:tcBorders>
              <w:top w:val="single" w:sz="4" w:space="0" w:color="auto"/>
              <w:left w:val="nil"/>
              <w:bottom w:val="single" w:sz="4" w:space="0" w:color="auto"/>
              <w:right w:val="nil"/>
            </w:tcBorders>
            <w:shd w:val="clear" w:color="auto" w:fill="D9D9D9" w:themeFill="background1" w:themeFillShade="D9"/>
            <w:vAlign w:val="bottom"/>
            <w:hideMark/>
          </w:tcPr>
          <w:p w14:paraId="7E679B9B" w14:textId="77777777" w:rsidR="00EC62A2" w:rsidRPr="0036109B" w:rsidRDefault="00EC62A2" w:rsidP="00CF7FFA">
            <w:pPr>
              <w:spacing w:after="0" w:line="240" w:lineRule="auto"/>
              <w:jc w:val="right"/>
              <w:rPr>
                <w:rFonts w:eastAsia="Times New Roman" w:cstheme="minorHAnsi"/>
                <w:b/>
                <w:bCs/>
                <w:sz w:val="14"/>
                <w:szCs w:val="14"/>
                <w:lang w:eastAsia="nl-BE"/>
              </w:rPr>
            </w:pPr>
            <w:r w:rsidRPr="0036109B">
              <w:rPr>
                <w:rFonts w:eastAsia="Times New Roman" w:cstheme="minorHAnsi"/>
                <w:b/>
                <w:bCs/>
                <w:sz w:val="14"/>
                <w:szCs w:val="14"/>
                <w:lang w:val="en" w:eastAsia="nl-BE"/>
              </w:rPr>
              <w:t>807,520.1</w:t>
            </w:r>
          </w:p>
        </w:tc>
        <w:tc>
          <w:tcPr>
            <w:tcW w:w="80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7C99100" w14:textId="77777777" w:rsidR="00EC62A2" w:rsidRPr="0036109B" w:rsidRDefault="00EC62A2" w:rsidP="00CF7FFA">
            <w:pPr>
              <w:spacing w:after="0" w:line="240" w:lineRule="auto"/>
              <w:jc w:val="right"/>
              <w:rPr>
                <w:rFonts w:eastAsia="Times New Roman" w:cstheme="minorHAnsi"/>
                <w:b/>
                <w:bCs/>
                <w:sz w:val="14"/>
                <w:szCs w:val="14"/>
                <w:lang w:eastAsia="nl-BE"/>
              </w:rPr>
            </w:pPr>
            <w:r w:rsidRPr="0036109B">
              <w:rPr>
                <w:rFonts w:eastAsia="Times New Roman" w:cstheme="minorHAnsi"/>
                <w:b/>
                <w:bCs/>
                <w:sz w:val="14"/>
                <w:szCs w:val="14"/>
                <w:lang w:val="en" w:eastAsia="nl-BE"/>
              </w:rPr>
              <w:t>0.4</w:t>
            </w:r>
          </w:p>
        </w:tc>
        <w:tc>
          <w:tcPr>
            <w:tcW w:w="78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ACCAB68" w14:textId="77777777" w:rsidR="00EC62A2" w:rsidRPr="0036109B" w:rsidRDefault="00EC62A2" w:rsidP="00CF7FFA">
            <w:pPr>
              <w:spacing w:after="0" w:line="240" w:lineRule="auto"/>
              <w:jc w:val="right"/>
              <w:rPr>
                <w:rFonts w:eastAsia="Times New Roman" w:cstheme="minorHAnsi"/>
                <w:b/>
                <w:bCs/>
                <w:sz w:val="14"/>
                <w:szCs w:val="14"/>
                <w:lang w:eastAsia="nl-BE"/>
              </w:rPr>
            </w:pPr>
            <w:r w:rsidRPr="0036109B">
              <w:rPr>
                <w:rFonts w:eastAsia="Times New Roman" w:cstheme="minorHAnsi"/>
                <w:b/>
                <w:bCs/>
                <w:sz w:val="14"/>
                <w:szCs w:val="14"/>
                <w:lang w:val="en" w:eastAsia="nl-BE"/>
              </w:rPr>
              <w:t>65.5</w:t>
            </w:r>
          </w:p>
        </w:tc>
      </w:tr>
    </w:tbl>
    <w:p w14:paraId="039A0154" w14:textId="77777777" w:rsidR="00EC62A2" w:rsidRDefault="00EC62A2" w:rsidP="00EC62A2">
      <w:pPr>
        <w:rPr>
          <w:rFonts w:cstheme="minorHAnsi"/>
          <w:color w:val="000000"/>
          <w:lang w:val="nl-NL"/>
        </w:rPr>
      </w:pPr>
      <w:r>
        <w:rPr>
          <w:rFonts w:cstheme="minorHAnsi"/>
          <w:color w:val="000000"/>
          <w:lang w:val="nl-NL"/>
        </w:rPr>
        <w:br w:type="page"/>
      </w:r>
    </w:p>
    <w:p w14:paraId="7C89714B" w14:textId="77777777" w:rsidR="00EC62A2" w:rsidRDefault="00EC62A2" w:rsidP="00EC62A2">
      <w:pPr>
        <w:spacing w:after="0" w:line="240" w:lineRule="auto"/>
        <w:rPr>
          <w:rFonts w:cstheme="minorHAnsi"/>
          <w:b/>
          <w:bCs/>
          <w:color w:val="000000"/>
          <w:lang w:val="nl-NL"/>
        </w:rPr>
      </w:pPr>
      <w:r w:rsidRPr="00BA2211">
        <w:rPr>
          <w:rFonts w:cstheme="minorHAnsi"/>
          <w:b/>
          <w:bCs/>
          <w:color w:val="000000"/>
          <w:lang w:val="en"/>
        </w:rPr>
        <w:lastRenderedPageBreak/>
        <w:t>AFTERWORD</w:t>
      </w:r>
    </w:p>
    <w:p w14:paraId="3FCC3864" w14:textId="77777777" w:rsidR="00EC62A2" w:rsidRPr="00BA2211" w:rsidRDefault="00EC62A2" w:rsidP="00EC62A2">
      <w:pPr>
        <w:spacing w:after="0" w:line="240" w:lineRule="auto"/>
        <w:rPr>
          <w:rFonts w:cstheme="minorHAnsi"/>
          <w:b/>
          <w:bCs/>
          <w:color w:val="000000"/>
          <w:lang w:val="nl-NL"/>
        </w:rPr>
      </w:pPr>
    </w:p>
    <w:p w14:paraId="189C2EC5" w14:textId="77777777" w:rsidR="00EC62A2" w:rsidRPr="002E22F8" w:rsidRDefault="00EC62A2" w:rsidP="00EC62A2">
      <w:pPr>
        <w:spacing w:after="0" w:line="240" w:lineRule="auto"/>
        <w:jc w:val="both"/>
        <w:rPr>
          <w:color w:val="000000"/>
          <w:lang w:val="en-GB"/>
        </w:rPr>
      </w:pPr>
      <w:r w:rsidRPr="1C83DAF5">
        <w:rPr>
          <w:color w:val="000000" w:themeColor="text1"/>
          <w:lang w:val="en"/>
        </w:rPr>
        <w:t>The period of economic downturn affecting the furniture sector, along with many other economic sectors, has not prevented companies from continuing on the path of sustainability, circularity, and innovation/product development, and preparing for the future.</w:t>
      </w:r>
    </w:p>
    <w:p w14:paraId="3ABAF842" w14:textId="77777777" w:rsidR="00EC62A2" w:rsidRPr="002E22F8" w:rsidRDefault="00EC62A2" w:rsidP="00EC62A2">
      <w:pPr>
        <w:spacing w:after="0" w:line="240" w:lineRule="auto"/>
        <w:jc w:val="both"/>
        <w:rPr>
          <w:rFonts w:cstheme="minorHAnsi"/>
          <w:color w:val="000000"/>
          <w:lang w:val="en-GB"/>
        </w:rPr>
      </w:pPr>
    </w:p>
    <w:p w14:paraId="31D2DAC3" w14:textId="77777777" w:rsidR="00EC62A2" w:rsidRPr="002E22F8" w:rsidRDefault="00EC62A2" w:rsidP="00EC62A2">
      <w:pPr>
        <w:spacing w:after="0" w:line="240" w:lineRule="auto"/>
        <w:jc w:val="both"/>
        <w:rPr>
          <w:rFonts w:cstheme="minorHAnsi"/>
          <w:color w:val="000000"/>
          <w:lang w:val="en-GB"/>
        </w:rPr>
      </w:pPr>
      <w:r>
        <w:rPr>
          <w:rFonts w:cstheme="minorHAnsi"/>
          <w:color w:val="000000"/>
          <w:lang w:val="en"/>
        </w:rPr>
        <w:t>In light of legislative initiatives such as extended producer responsibility, there has been a reinforced focus on eco-design and "design for disassembly," enabling the reuse and recycling of materials and resources. The mattress sector is undoubtedly a pioneer in offering circular solutions to the market. Belgian manufacturers are taking a leading role in this, often serving as an example for their European counterparts. It is now important to raise consumer awareness about the significance of these circular and environmentally responsible solutions and products.</w:t>
      </w:r>
    </w:p>
    <w:p w14:paraId="011F3C11" w14:textId="77777777" w:rsidR="00EC62A2" w:rsidRPr="002E22F8" w:rsidRDefault="00EC62A2" w:rsidP="00EC62A2">
      <w:pPr>
        <w:spacing w:after="0" w:line="240" w:lineRule="auto"/>
        <w:jc w:val="both"/>
        <w:rPr>
          <w:color w:val="000000" w:themeColor="text1"/>
          <w:lang w:val="en-GB"/>
        </w:rPr>
      </w:pPr>
    </w:p>
    <w:p w14:paraId="265007C2" w14:textId="77777777" w:rsidR="00EC62A2" w:rsidRPr="002E22F8" w:rsidRDefault="00EC62A2" w:rsidP="00EC62A2">
      <w:pPr>
        <w:pStyle w:val="xmsoplaintext"/>
        <w:spacing w:before="0" w:beforeAutospacing="0" w:after="0" w:afterAutospacing="0"/>
        <w:jc w:val="both"/>
        <w:rPr>
          <w:lang w:val="en-GB"/>
        </w:rPr>
      </w:pPr>
      <w:r w:rsidRPr="00315ED8">
        <w:rPr>
          <w:lang w:val="en"/>
        </w:rPr>
        <w:t xml:space="preserve">In recent years, there has been an increasing emphasis on sustainability. While the European Timber Regulation (introduced in 2013) focused on legality, the introduction of the European Union Deforestation Regulation (likely postponed by a year) will further boost this initiative. In addition to legality, the sustainable origin of timber will now also be taken into account. Moreover, seating furniture, previously exempt from the timber regulation's obligations, will now fall under this legislation. This will result in additional measures and obligations for importers and exporters to guarantee both the legality and sustainability of their products. </w:t>
      </w:r>
      <w:proofErr w:type="spellStart"/>
      <w:r w:rsidRPr="00315ED8">
        <w:rPr>
          <w:lang w:val="en"/>
        </w:rPr>
        <w:t>Fedustria</w:t>
      </w:r>
      <w:proofErr w:type="spellEnd"/>
      <w:r w:rsidRPr="00315ED8">
        <w:rPr>
          <w:lang w:val="en"/>
        </w:rPr>
        <w:t xml:space="preserve"> provides support and guidance to its members on this matter and works closely with European umbrella federations CEI-Bois (European Confederation of Woodworking Industries) and EFIC (European Furniture Industries Confederation). </w:t>
      </w:r>
    </w:p>
    <w:p w14:paraId="67465E10" w14:textId="77777777" w:rsidR="00EC62A2" w:rsidRPr="002E22F8" w:rsidRDefault="00EC62A2" w:rsidP="00EC62A2">
      <w:pPr>
        <w:pStyle w:val="xmsoplaintext"/>
        <w:spacing w:before="0" w:beforeAutospacing="0" w:after="0" w:afterAutospacing="0"/>
        <w:jc w:val="both"/>
        <w:rPr>
          <w:lang w:val="en-GB"/>
        </w:rPr>
      </w:pPr>
      <w:r w:rsidRPr="002E22F8">
        <w:rPr>
          <w:lang w:val="en-GB"/>
        </w:rPr>
        <w:t> </w:t>
      </w:r>
    </w:p>
    <w:p w14:paraId="1193872F" w14:textId="77777777" w:rsidR="00EC62A2" w:rsidRPr="002E22F8" w:rsidRDefault="00EC62A2" w:rsidP="00EC62A2">
      <w:pPr>
        <w:pStyle w:val="xmsoplaintext"/>
        <w:spacing w:before="0" w:beforeAutospacing="0" w:after="0" w:afterAutospacing="0"/>
        <w:jc w:val="both"/>
        <w:rPr>
          <w:lang w:val="en-GB"/>
        </w:rPr>
      </w:pPr>
      <w:r w:rsidRPr="00315ED8">
        <w:rPr>
          <w:lang w:val="en"/>
        </w:rPr>
        <w:t xml:space="preserve">The potential one-year postponement of these obligations, which still requires approval from the European Parliament, should not encourage market operators to delay their preparations. On the contrary, </w:t>
      </w:r>
      <w:proofErr w:type="spellStart"/>
      <w:r w:rsidRPr="00315ED8">
        <w:rPr>
          <w:lang w:val="en"/>
        </w:rPr>
        <w:t>Fedustria</w:t>
      </w:r>
      <w:proofErr w:type="spellEnd"/>
      <w:r w:rsidRPr="00315ED8">
        <w:rPr>
          <w:lang w:val="en"/>
        </w:rPr>
        <w:t xml:space="preserve"> urges its members to use these additional months to thoroughly prepare.</w:t>
      </w:r>
    </w:p>
    <w:p w14:paraId="63B5DF81" w14:textId="77777777" w:rsidR="00EC62A2" w:rsidRPr="002E22F8" w:rsidRDefault="00EC62A2" w:rsidP="00EC62A2">
      <w:pPr>
        <w:spacing w:after="0" w:line="240" w:lineRule="auto"/>
        <w:jc w:val="both"/>
        <w:rPr>
          <w:color w:val="000000" w:themeColor="text1"/>
          <w:lang w:val="en-GB"/>
        </w:rPr>
      </w:pPr>
    </w:p>
    <w:p w14:paraId="534C3200" w14:textId="77777777" w:rsidR="00EC62A2" w:rsidRPr="002E22F8" w:rsidRDefault="00EC62A2" w:rsidP="00EC62A2">
      <w:pPr>
        <w:spacing w:after="0" w:line="240" w:lineRule="auto"/>
        <w:jc w:val="both"/>
        <w:rPr>
          <w:color w:val="000000" w:themeColor="text1"/>
          <w:lang w:val="en-GB"/>
        </w:rPr>
      </w:pPr>
      <w:r w:rsidRPr="1C83DAF5">
        <w:rPr>
          <w:color w:val="000000" w:themeColor="text1"/>
          <w:lang w:val="en"/>
        </w:rPr>
        <w:t xml:space="preserve">With initiatives such as the trend platform </w:t>
      </w:r>
      <w:hyperlink r:id="rId12" w:history="1">
        <w:hyperlink r:id="rId13" w:history="1">
          <w:r w:rsidRPr="1C83DAF5">
            <w:rPr>
              <w:rStyle w:val="Hyperlink"/>
              <w:lang w:val="en"/>
            </w:rPr>
            <w:t>WATF</w:t>
          </w:r>
        </w:hyperlink>
      </w:hyperlink>
      <w:r w:rsidRPr="1C83DAF5">
        <w:rPr>
          <w:color w:val="000000" w:themeColor="text1"/>
          <w:lang w:val="en"/>
        </w:rPr>
        <w:t xml:space="preserve"> (Woodcrafts and Textile Futures) and the STEM tool </w:t>
      </w:r>
      <w:hyperlink r:id="rId14" w:history="1">
        <w:r w:rsidRPr="1C83DAF5">
          <w:rPr>
            <w:color w:val="000000" w:themeColor="text1"/>
            <w:lang w:val="en"/>
          </w:rPr>
          <w:t>TWIINZ</w:t>
        </w:r>
        <w:r w:rsidRPr="1C83DAF5">
          <w:rPr>
            <w:rStyle w:val="Hyperlink"/>
            <w:lang w:val="en"/>
          </w:rPr>
          <w:t>.WORLD</w:t>
        </w:r>
      </w:hyperlink>
      <w:r w:rsidRPr="1C83DAF5">
        <w:rPr>
          <w:color w:val="000000" w:themeColor="text1"/>
          <w:lang w:val="en"/>
        </w:rPr>
        <w:t xml:space="preserve">, launched in collaboration with the youth marketing agency </w:t>
      </w:r>
      <w:proofErr w:type="spellStart"/>
      <w:r w:rsidRPr="1C83DAF5">
        <w:rPr>
          <w:color w:val="000000" w:themeColor="text1"/>
          <w:lang w:val="en"/>
        </w:rPr>
        <w:t>Trendwolves</w:t>
      </w:r>
      <w:proofErr w:type="spellEnd"/>
      <w:r w:rsidRPr="1C83DAF5">
        <w:rPr>
          <w:color w:val="000000" w:themeColor="text1"/>
          <w:lang w:val="en"/>
        </w:rPr>
        <w:t xml:space="preserve">, </w:t>
      </w:r>
      <w:proofErr w:type="spellStart"/>
      <w:r w:rsidRPr="1C83DAF5">
        <w:rPr>
          <w:color w:val="000000" w:themeColor="text1"/>
          <w:lang w:val="en"/>
        </w:rPr>
        <w:t>Fedustria</w:t>
      </w:r>
      <w:proofErr w:type="spellEnd"/>
      <w:r w:rsidRPr="1C83DAF5">
        <w:rPr>
          <w:color w:val="000000" w:themeColor="text1"/>
          <w:lang w:val="en"/>
        </w:rPr>
        <w:t xml:space="preserve"> aims to introduce and attract young talent to the sector.  For the second consecutive year, a trend report was published in early October, this time focusing on "augmented creativity," featuring numerous inspiring case studies from the sector. Through TWIINZ.WORLD, 10- to 14-year-olds can engage creatively in a virtual world with 3D products from </w:t>
      </w:r>
      <w:proofErr w:type="spellStart"/>
      <w:r w:rsidRPr="1C83DAF5">
        <w:rPr>
          <w:color w:val="000000" w:themeColor="text1"/>
          <w:lang w:val="en"/>
        </w:rPr>
        <w:t>Fedustria</w:t>
      </w:r>
      <w:proofErr w:type="spellEnd"/>
      <w:r w:rsidRPr="1C83DAF5">
        <w:rPr>
          <w:color w:val="000000" w:themeColor="text1"/>
          <w:lang w:val="en"/>
        </w:rPr>
        <w:t xml:space="preserve"> member companies to create their own dream worlds. </w:t>
      </w:r>
    </w:p>
    <w:p w14:paraId="2D27178C" w14:textId="77777777" w:rsidR="00EC62A2" w:rsidRPr="002E22F8" w:rsidRDefault="00EC62A2" w:rsidP="00EC62A2">
      <w:pPr>
        <w:spacing w:after="0" w:line="240" w:lineRule="auto"/>
        <w:jc w:val="both"/>
        <w:rPr>
          <w:color w:val="000000" w:themeColor="text1"/>
          <w:lang w:val="en-GB"/>
        </w:rPr>
      </w:pPr>
    </w:p>
    <w:p w14:paraId="4FBF1EC4" w14:textId="77777777" w:rsidR="00EC62A2" w:rsidRPr="002E22F8" w:rsidRDefault="00EC62A2" w:rsidP="00EC62A2">
      <w:pPr>
        <w:spacing w:after="0" w:line="240" w:lineRule="auto"/>
        <w:jc w:val="both"/>
        <w:rPr>
          <w:color w:val="000000" w:themeColor="text1"/>
          <w:lang w:val="en-GB"/>
        </w:rPr>
      </w:pPr>
      <w:r w:rsidRPr="1B697D38">
        <w:rPr>
          <w:color w:val="000000" w:themeColor="text1"/>
          <w:lang w:val="en"/>
        </w:rPr>
        <w:t xml:space="preserve">Belgian furniture manufacturers are also actively seeking new market opportunities, particularly abroad. Group participation in trade fairs under the banner of ‘Belgian Furniture powered by </w:t>
      </w:r>
      <w:proofErr w:type="spellStart"/>
      <w:r w:rsidRPr="1B697D38">
        <w:rPr>
          <w:color w:val="000000" w:themeColor="text1"/>
          <w:lang w:val="en"/>
        </w:rPr>
        <w:t>Fedustria</w:t>
      </w:r>
      <w:proofErr w:type="spellEnd"/>
      <w:r w:rsidRPr="1B697D38">
        <w:rPr>
          <w:color w:val="000000" w:themeColor="text1"/>
          <w:lang w:val="en"/>
        </w:rPr>
        <w:t xml:space="preserve">,’ such as in Milan or the Middle East, paves the way for this. The Brussels Furniture Fair also offers opportunities, with an additional focus on outdoor furniture through the "Outdoor Island." </w:t>
      </w:r>
    </w:p>
    <w:p w14:paraId="720C14ED" w14:textId="77777777" w:rsidR="00EC62A2" w:rsidRPr="002E22F8" w:rsidRDefault="00EC62A2" w:rsidP="00EC62A2">
      <w:pPr>
        <w:spacing w:after="0" w:line="240" w:lineRule="auto"/>
        <w:jc w:val="both"/>
        <w:rPr>
          <w:color w:val="000000" w:themeColor="text1"/>
          <w:lang w:val="en-GB"/>
        </w:rPr>
      </w:pPr>
    </w:p>
    <w:p w14:paraId="548BAC20" w14:textId="77777777" w:rsidR="00EC62A2" w:rsidRPr="002E22F8" w:rsidRDefault="00EC62A2" w:rsidP="00EC62A2">
      <w:pPr>
        <w:spacing w:after="0" w:line="240" w:lineRule="auto"/>
        <w:jc w:val="both"/>
        <w:rPr>
          <w:color w:val="000000" w:themeColor="text1"/>
          <w:lang w:val="en-GB"/>
        </w:rPr>
      </w:pPr>
      <w:r>
        <w:rPr>
          <w:color w:val="000000" w:themeColor="text1"/>
          <w:lang w:val="en"/>
        </w:rPr>
        <w:t>Finally, the postponement of the Cologne Furniture Fair in early 2025 will hopefully draw German and other international buyers to Brussels. We will, of course, welcome them with open arms.</w:t>
      </w:r>
    </w:p>
    <w:p w14:paraId="0D573459" w14:textId="77777777" w:rsidR="00EC62A2" w:rsidRPr="002E22F8" w:rsidRDefault="00EC62A2" w:rsidP="00EC62A2">
      <w:pPr>
        <w:spacing w:after="0" w:line="240" w:lineRule="auto"/>
        <w:jc w:val="both"/>
        <w:rPr>
          <w:color w:val="000000"/>
          <w:lang w:val="en-GB"/>
        </w:rPr>
      </w:pPr>
    </w:p>
    <w:p w14:paraId="6580034F" w14:textId="77777777" w:rsidR="00EC62A2" w:rsidRPr="002E22F8" w:rsidRDefault="00EC62A2" w:rsidP="00EC62A2">
      <w:pPr>
        <w:spacing w:line="257" w:lineRule="auto"/>
        <w:jc w:val="center"/>
        <w:rPr>
          <w:rFonts w:cstheme="minorHAnsi"/>
          <w:color w:val="000000"/>
          <w:lang w:val="en-GB"/>
        </w:rPr>
      </w:pPr>
      <w:r>
        <w:rPr>
          <w:rFonts w:cstheme="minorHAnsi"/>
          <w:color w:val="000000"/>
          <w:lang w:val="en"/>
        </w:rPr>
        <w:t>---------------------------------------------------</w:t>
      </w:r>
    </w:p>
    <w:p w14:paraId="7B0BEAC0" w14:textId="77777777" w:rsidR="00EC62A2" w:rsidRPr="00EC62A2" w:rsidRDefault="00EC62A2" w:rsidP="00EC62A2">
      <w:pPr>
        <w:rPr>
          <w:lang w:val="en-GB"/>
        </w:rPr>
      </w:pPr>
      <w:r w:rsidRPr="00EC62A2">
        <w:rPr>
          <w:lang w:val="en-GB"/>
        </w:rPr>
        <w:t>Additional information: Katja Devos (</w:t>
      </w:r>
      <w:hyperlink r:id="rId15" w:history="1">
        <w:r w:rsidRPr="00EC62A2">
          <w:rPr>
            <w:rStyle w:val="Hyperlink"/>
            <w:lang w:val="en-GB"/>
          </w:rPr>
          <w:t>katja.devos@fedustria.be</w:t>
        </w:r>
      </w:hyperlink>
      <w:r w:rsidRPr="00EC62A2">
        <w:rPr>
          <w:lang w:val="en-GB"/>
        </w:rPr>
        <w:t>), +32 476 316467 or Filip De Jaeger (</w:t>
      </w:r>
      <w:hyperlink r:id="rId16" w:history="1">
        <w:r w:rsidRPr="00EC62A2">
          <w:rPr>
            <w:rStyle w:val="Hyperlink"/>
            <w:lang w:val="en-GB"/>
          </w:rPr>
          <w:t>filip.de.jaeger@fedustria.be</w:t>
        </w:r>
      </w:hyperlink>
      <w:r w:rsidRPr="00EC62A2">
        <w:rPr>
          <w:lang w:val="en-GB"/>
        </w:rPr>
        <w:t>), +32 486 898184</w:t>
      </w:r>
    </w:p>
    <w:p w14:paraId="077A1111" w14:textId="77777777" w:rsidR="00EC62A2" w:rsidRDefault="00EC62A2" w:rsidP="008830E9">
      <w:pPr>
        <w:pStyle w:val="ListParagraph"/>
        <w:jc w:val="both"/>
        <w:rPr>
          <w:sz w:val="24"/>
          <w:szCs w:val="24"/>
          <w:lang w:val="en-GB"/>
        </w:rPr>
      </w:pPr>
    </w:p>
    <w:p w14:paraId="45432C1A" w14:textId="77777777" w:rsidR="00EC62A2" w:rsidRDefault="00EC62A2" w:rsidP="008830E9">
      <w:pPr>
        <w:pStyle w:val="ListParagraph"/>
        <w:jc w:val="both"/>
        <w:rPr>
          <w:sz w:val="24"/>
          <w:szCs w:val="24"/>
          <w:lang w:val="en-GB"/>
        </w:rPr>
      </w:pPr>
    </w:p>
    <w:p w14:paraId="31A6BE1F" w14:textId="7092F2D0" w:rsidR="004D5C96" w:rsidRPr="00EC62A2" w:rsidRDefault="004D5C96" w:rsidP="00EC62A2">
      <w:pPr>
        <w:pStyle w:val="ListParagraph"/>
        <w:numPr>
          <w:ilvl w:val="0"/>
          <w:numId w:val="14"/>
        </w:numPr>
        <w:jc w:val="both"/>
        <w:rPr>
          <w:b/>
          <w:bCs/>
          <w:sz w:val="24"/>
          <w:szCs w:val="24"/>
          <w:lang w:val="en-GB"/>
        </w:rPr>
      </w:pPr>
      <w:r w:rsidRPr="00EC62A2">
        <w:rPr>
          <w:b/>
          <w:bCs/>
          <w:sz w:val="24"/>
          <w:szCs w:val="24"/>
          <w:lang w:val="en-GB"/>
        </w:rPr>
        <w:lastRenderedPageBreak/>
        <w:t>BRUSSEL</w:t>
      </w:r>
      <w:r w:rsidR="00EA7C48" w:rsidRPr="00EC62A2">
        <w:rPr>
          <w:b/>
          <w:bCs/>
          <w:sz w:val="24"/>
          <w:szCs w:val="24"/>
          <w:lang w:val="en-GB"/>
        </w:rPr>
        <w:t>S FURNITURE FAIR</w:t>
      </w:r>
    </w:p>
    <w:p w14:paraId="64D877B0" w14:textId="77777777" w:rsidR="004D5C96" w:rsidRPr="007E64B9" w:rsidRDefault="004D5C96" w:rsidP="008830E9">
      <w:pPr>
        <w:pStyle w:val="ListParagraph"/>
        <w:jc w:val="both"/>
        <w:rPr>
          <w:b/>
          <w:bCs/>
          <w:sz w:val="24"/>
          <w:szCs w:val="24"/>
          <w:lang w:val="en-GB"/>
        </w:rPr>
      </w:pPr>
    </w:p>
    <w:p w14:paraId="43ACBE43" w14:textId="657CB9AD" w:rsidR="004D5C96" w:rsidRPr="007E64B9" w:rsidRDefault="00525959" w:rsidP="008830E9">
      <w:pPr>
        <w:jc w:val="both"/>
        <w:rPr>
          <w:b/>
          <w:bCs/>
          <w:sz w:val="24"/>
          <w:szCs w:val="24"/>
          <w:lang w:val="en-GB"/>
        </w:rPr>
      </w:pPr>
      <w:r w:rsidRPr="007E64B9">
        <w:rPr>
          <w:b/>
          <w:bCs/>
          <w:sz w:val="24"/>
          <w:szCs w:val="24"/>
          <w:lang w:val="en-GB"/>
        </w:rPr>
        <w:t>Campaign</w:t>
      </w:r>
      <w:r w:rsidR="004D5C96" w:rsidRPr="007E64B9">
        <w:rPr>
          <w:b/>
          <w:bCs/>
          <w:sz w:val="24"/>
          <w:szCs w:val="24"/>
          <w:lang w:val="en-GB"/>
        </w:rPr>
        <w:t xml:space="preserve"> – </w:t>
      </w:r>
      <w:r w:rsidR="003D7C68" w:rsidRPr="007E64B9">
        <w:rPr>
          <w:b/>
          <w:bCs/>
          <w:sz w:val="24"/>
          <w:szCs w:val="24"/>
          <w:lang w:val="en-GB"/>
        </w:rPr>
        <w:t>Growing</w:t>
      </w:r>
      <w:r w:rsidR="004D5C96" w:rsidRPr="007E64B9">
        <w:rPr>
          <w:b/>
          <w:bCs/>
          <w:sz w:val="24"/>
          <w:szCs w:val="24"/>
          <w:lang w:val="en-GB"/>
        </w:rPr>
        <w:t xml:space="preserve"> Homes</w:t>
      </w:r>
    </w:p>
    <w:p w14:paraId="0F24AA71" w14:textId="3ACC8F1A" w:rsidR="004D5C96" w:rsidRPr="007E64B9" w:rsidRDefault="00AF50C9" w:rsidP="008830E9">
      <w:pPr>
        <w:jc w:val="both"/>
        <w:rPr>
          <w:sz w:val="24"/>
          <w:szCs w:val="24"/>
          <w:lang w:val="en-GB"/>
        </w:rPr>
      </w:pPr>
      <w:r w:rsidRPr="007E64B9">
        <w:rPr>
          <w:sz w:val="24"/>
          <w:szCs w:val="24"/>
          <w:lang w:val="en-GB"/>
        </w:rPr>
        <w:t xml:space="preserve">A detailed report on the </w:t>
      </w:r>
      <w:r w:rsidR="00525959" w:rsidRPr="007E64B9">
        <w:rPr>
          <w:sz w:val="24"/>
          <w:szCs w:val="24"/>
          <w:lang w:val="en-GB"/>
        </w:rPr>
        <w:t xml:space="preserve">campaign slogan </w:t>
      </w:r>
      <w:r w:rsidR="00BA502E">
        <w:rPr>
          <w:sz w:val="24"/>
          <w:szCs w:val="24"/>
          <w:lang w:val="en-GB"/>
        </w:rPr>
        <w:t>‘</w:t>
      </w:r>
      <w:r w:rsidR="00525959" w:rsidRPr="007E64B9">
        <w:rPr>
          <w:sz w:val="24"/>
          <w:szCs w:val="24"/>
          <w:lang w:val="en-GB"/>
        </w:rPr>
        <w:t>Growing Homes</w:t>
      </w:r>
      <w:r w:rsidR="00BA502E">
        <w:rPr>
          <w:sz w:val="24"/>
          <w:szCs w:val="24"/>
          <w:lang w:val="en-GB"/>
        </w:rPr>
        <w:t>’</w:t>
      </w:r>
      <w:r w:rsidR="00525959" w:rsidRPr="007E64B9">
        <w:rPr>
          <w:sz w:val="24"/>
          <w:szCs w:val="24"/>
          <w:lang w:val="en-GB"/>
        </w:rPr>
        <w:t xml:space="preserve"> </w:t>
      </w:r>
      <w:r w:rsidR="007E64B9">
        <w:rPr>
          <w:sz w:val="24"/>
          <w:szCs w:val="24"/>
          <w:lang w:val="en-GB"/>
        </w:rPr>
        <w:t xml:space="preserve">has already been published in </w:t>
      </w:r>
      <w:r w:rsidRPr="007E64B9">
        <w:rPr>
          <w:sz w:val="24"/>
          <w:szCs w:val="24"/>
          <w:lang w:val="en-GB"/>
        </w:rPr>
        <w:t xml:space="preserve">our </w:t>
      </w:r>
      <w:r w:rsidR="00525959" w:rsidRPr="007E64B9">
        <w:rPr>
          <w:sz w:val="24"/>
          <w:szCs w:val="24"/>
          <w:lang w:val="en-GB"/>
        </w:rPr>
        <w:t xml:space="preserve">newsletter </w:t>
      </w:r>
      <w:r w:rsidR="00525959" w:rsidRPr="007E64B9">
        <w:rPr>
          <w:i/>
          <w:iCs/>
          <w:sz w:val="24"/>
          <w:szCs w:val="24"/>
          <w:lang w:val="en-GB"/>
        </w:rPr>
        <w:t xml:space="preserve">Brussels Furniture </w:t>
      </w:r>
      <w:proofErr w:type="spellStart"/>
      <w:r w:rsidR="00525959" w:rsidRPr="007E64B9">
        <w:rPr>
          <w:i/>
          <w:iCs/>
          <w:sz w:val="24"/>
          <w:szCs w:val="24"/>
          <w:lang w:val="en-GB"/>
        </w:rPr>
        <w:t>AfFairs</w:t>
      </w:r>
      <w:proofErr w:type="spellEnd"/>
      <w:r w:rsidR="00525959" w:rsidRPr="007E64B9">
        <w:rPr>
          <w:sz w:val="24"/>
          <w:szCs w:val="24"/>
          <w:lang w:val="en-GB"/>
        </w:rPr>
        <w:t xml:space="preserve">, </w:t>
      </w:r>
      <w:r w:rsidR="007E64B9">
        <w:rPr>
          <w:sz w:val="24"/>
          <w:szCs w:val="24"/>
          <w:lang w:val="en-GB"/>
        </w:rPr>
        <w:t xml:space="preserve">which also </w:t>
      </w:r>
      <w:r w:rsidRPr="007E64B9">
        <w:rPr>
          <w:sz w:val="24"/>
          <w:szCs w:val="24"/>
          <w:lang w:val="en-GB"/>
        </w:rPr>
        <w:t>explore</w:t>
      </w:r>
      <w:r w:rsidR="007E64B9">
        <w:rPr>
          <w:sz w:val="24"/>
          <w:szCs w:val="24"/>
          <w:lang w:val="en-GB"/>
        </w:rPr>
        <w:t>s</w:t>
      </w:r>
      <w:r w:rsidRPr="007E64B9">
        <w:rPr>
          <w:sz w:val="24"/>
          <w:szCs w:val="24"/>
          <w:lang w:val="en-GB"/>
        </w:rPr>
        <w:t xml:space="preserve"> the </w:t>
      </w:r>
      <w:r w:rsidR="00525959" w:rsidRPr="007E64B9">
        <w:rPr>
          <w:sz w:val="24"/>
          <w:szCs w:val="24"/>
          <w:lang w:val="en-GB"/>
        </w:rPr>
        <w:t xml:space="preserve">creation and </w:t>
      </w:r>
      <w:r w:rsidR="007E64B9">
        <w:rPr>
          <w:sz w:val="24"/>
          <w:szCs w:val="24"/>
          <w:lang w:val="en-GB"/>
        </w:rPr>
        <w:t>meaning behind t</w:t>
      </w:r>
      <w:r w:rsidR="00525959" w:rsidRPr="007E64B9">
        <w:rPr>
          <w:sz w:val="24"/>
          <w:szCs w:val="24"/>
          <w:lang w:val="en-GB"/>
        </w:rPr>
        <w:t xml:space="preserve">he </w:t>
      </w:r>
      <w:r w:rsidR="007E64B9">
        <w:rPr>
          <w:sz w:val="24"/>
          <w:szCs w:val="24"/>
          <w:lang w:val="en-GB"/>
        </w:rPr>
        <w:t xml:space="preserve">accompanying </w:t>
      </w:r>
      <w:r w:rsidR="00525959" w:rsidRPr="007E64B9">
        <w:rPr>
          <w:sz w:val="24"/>
          <w:szCs w:val="24"/>
          <w:lang w:val="en-GB"/>
        </w:rPr>
        <w:t xml:space="preserve">video. </w:t>
      </w:r>
      <w:r w:rsidR="007E64B9">
        <w:rPr>
          <w:sz w:val="24"/>
          <w:szCs w:val="24"/>
          <w:lang w:val="en-GB"/>
        </w:rPr>
        <w:t xml:space="preserve">Please </w:t>
      </w:r>
      <w:r w:rsidRPr="007E64B9">
        <w:rPr>
          <w:sz w:val="24"/>
          <w:szCs w:val="24"/>
          <w:lang w:val="en-GB"/>
        </w:rPr>
        <w:t xml:space="preserve">see the </w:t>
      </w:r>
      <w:r w:rsidR="00525959" w:rsidRPr="007E64B9">
        <w:rPr>
          <w:sz w:val="24"/>
          <w:szCs w:val="24"/>
          <w:lang w:val="en-GB"/>
        </w:rPr>
        <w:t>preview on our website</w:t>
      </w:r>
      <w:r w:rsidR="007E64B9">
        <w:rPr>
          <w:sz w:val="24"/>
          <w:szCs w:val="24"/>
          <w:lang w:val="en-GB"/>
        </w:rPr>
        <w:t xml:space="preserve"> for </w:t>
      </w:r>
      <w:r w:rsidR="00BA502E">
        <w:rPr>
          <w:sz w:val="24"/>
          <w:szCs w:val="24"/>
          <w:lang w:val="en-GB"/>
        </w:rPr>
        <w:t xml:space="preserve">full </w:t>
      </w:r>
      <w:r w:rsidR="007E64B9">
        <w:rPr>
          <w:sz w:val="24"/>
          <w:szCs w:val="24"/>
          <w:lang w:val="en-GB"/>
        </w:rPr>
        <w:t>details</w:t>
      </w:r>
      <w:r w:rsidR="00C22348" w:rsidRPr="007E64B9">
        <w:rPr>
          <w:sz w:val="24"/>
          <w:szCs w:val="24"/>
          <w:lang w:val="en-GB"/>
        </w:rPr>
        <w:t>.</w:t>
      </w:r>
    </w:p>
    <w:p w14:paraId="4988277E" w14:textId="08C49B6A" w:rsidR="00EA4E8F" w:rsidRPr="007E64B9" w:rsidRDefault="00525959" w:rsidP="008830E9">
      <w:pPr>
        <w:jc w:val="both"/>
        <w:rPr>
          <w:sz w:val="24"/>
          <w:szCs w:val="24"/>
          <w:lang w:val="en-GB"/>
        </w:rPr>
      </w:pPr>
      <w:r w:rsidRPr="007E64B9">
        <w:rPr>
          <w:sz w:val="24"/>
          <w:szCs w:val="24"/>
          <w:lang w:val="en-GB"/>
        </w:rPr>
        <w:t>But for th</w:t>
      </w:r>
      <w:r w:rsidR="007E64B9">
        <w:rPr>
          <w:sz w:val="24"/>
          <w:szCs w:val="24"/>
          <w:lang w:val="en-GB"/>
        </w:rPr>
        <w:t>e</w:t>
      </w:r>
      <w:r w:rsidRPr="007E64B9">
        <w:rPr>
          <w:sz w:val="24"/>
          <w:szCs w:val="24"/>
          <w:lang w:val="en-GB"/>
        </w:rPr>
        <w:t xml:space="preserve"> press conference</w:t>
      </w:r>
      <w:r w:rsidR="00AF50C9" w:rsidRPr="007E64B9">
        <w:rPr>
          <w:sz w:val="24"/>
          <w:szCs w:val="24"/>
          <w:lang w:val="en-GB"/>
        </w:rPr>
        <w:t>,</w:t>
      </w:r>
      <w:r w:rsidRPr="007E64B9">
        <w:rPr>
          <w:sz w:val="24"/>
          <w:szCs w:val="24"/>
          <w:lang w:val="en-GB"/>
        </w:rPr>
        <w:t xml:space="preserve"> and </w:t>
      </w:r>
      <w:r w:rsidR="007E64B9">
        <w:rPr>
          <w:sz w:val="24"/>
          <w:szCs w:val="24"/>
          <w:lang w:val="en-GB"/>
        </w:rPr>
        <w:t xml:space="preserve">to refresh the </w:t>
      </w:r>
      <w:r w:rsidRPr="007E64B9">
        <w:rPr>
          <w:sz w:val="24"/>
          <w:szCs w:val="24"/>
          <w:lang w:val="en-GB"/>
        </w:rPr>
        <w:t xml:space="preserve">memory, </w:t>
      </w:r>
      <w:r w:rsidR="007E64B9">
        <w:rPr>
          <w:sz w:val="24"/>
          <w:szCs w:val="24"/>
          <w:lang w:val="en-GB"/>
        </w:rPr>
        <w:t>I</w:t>
      </w:r>
      <w:r w:rsidR="00BA502E">
        <w:rPr>
          <w:sz w:val="24"/>
          <w:szCs w:val="24"/>
          <w:lang w:val="en-GB"/>
        </w:rPr>
        <w:t>’</w:t>
      </w:r>
      <w:r w:rsidR="007E64B9">
        <w:rPr>
          <w:sz w:val="24"/>
          <w:szCs w:val="24"/>
          <w:lang w:val="en-GB"/>
        </w:rPr>
        <w:t xml:space="preserve">d like to </w:t>
      </w:r>
      <w:r w:rsidRPr="007E64B9">
        <w:rPr>
          <w:sz w:val="24"/>
          <w:szCs w:val="24"/>
          <w:lang w:val="en-GB"/>
        </w:rPr>
        <w:t>summari</w:t>
      </w:r>
      <w:r w:rsidR="003637E0">
        <w:rPr>
          <w:sz w:val="24"/>
          <w:szCs w:val="24"/>
          <w:lang w:val="en-GB"/>
        </w:rPr>
        <w:t>z</w:t>
      </w:r>
      <w:r w:rsidRPr="007E64B9">
        <w:rPr>
          <w:sz w:val="24"/>
          <w:szCs w:val="24"/>
          <w:lang w:val="en-GB"/>
        </w:rPr>
        <w:t>e the</w:t>
      </w:r>
      <w:r w:rsidR="00EA7C48" w:rsidRPr="007E64B9">
        <w:rPr>
          <w:sz w:val="24"/>
          <w:szCs w:val="24"/>
          <w:lang w:val="en-GB"/>
        </w:rPr>
        <w:t xml:space="preserve"> </w:t>
      </w:r>
      <w:r w:rsidR="007E64B9">
        <w:rPr>
          <w:sz w:val="24"/>
          <w:szCs w:val="24"/>
          <w:lang w:val="en-GB"/>
        </w:rPr>
        <w:t xml:space="preserve">key </w:t>
      </w:r>
      <w:r w:rsidR="00EA7C48" w:rsidRPr="007E64B9">
        <w:rPr>
          <w:sz w:val="24"/>
          <w:szCs w:val="24"/>
          <w:lang w:val="en-GB"/>
        </w:rPr>
        <w:t>points</w:t>
      </w:r>
      <w:r w:rsidR="00EA4E8F" w:rsidRPr="007E64B9">
        <w:rPr>
          <w:sz w:val="24"/>
          <w:szCs w:val="24"/>
          <w:lang w:val="en-GB"/>
        </w:rPr>
        <w:t>.</w:t>
      </w:r>
    </w:p>
    <w:p w14:paraId="6F2439E3" w14:textId="0130380D" w:rsidR="008604D2" w:rsidRPr="007E64B9" w:rsidRDefault="00525959" w:rsidP="008830E9">
      <w:pPr>
        <w:spacing w:after="0" w:line="240" w:lineRule="auto"/>
        <w:jc w:val="both"/>
        <w:rPr>
          <w:rFonts w:eastAsia="Times New Roman"/>
          <w:sz w:val="24"/>
          <w:szCs w:val="24"/>
          <w:lang w:val="en-GB"/>
        </w:rPr>
      </w:pPr>
      <w:r w:rsidRPr="007E64B9">
        <w:rPr>
          <w:rFonts w:eastAsia="Times New Roman"/>
          <w:sz w:val="24"/>
          <w:szCs w:val="24"/>
          <w:lang w:val="en-GB"/>
        </w:rPr>
        <w:t xml:space="preserve">Growing </w:t>
      </w:r>
      <w:r w:rsidRPr="007E64B9">
        <w:rPr>
          <w:rFonts w:eastAsia="Times New Roman"/>
          <w:b/>
          <w:bCs/>
          <w:sz w:val="24"/>
          <w:szCs w:val="24"/>
          <w:lang w:val="en-GB"/>
        </w:rPr>
        <w:t>Homes</w:t>
      </w:r>
      <w:r w:rsidRPr="007E64B9">
        <w:rPr>
          <w:rFonts w:eastAsia="Times New Roman"/>
          <w:sz w:val="24"/>
          <w:szCs w:val="24"/>
          <w:lang w:val="en-GB"/>
        </w:rPr>
        <w:t xml:space="preserve">: </w:t>
      </w:r>
      <w:r w:rsidR="00AF50C9" w:rsidRPr="007E64B9">
        <w:rPr>
          <w:rFonts w:eastAsia="Times New Roman"/>
          <w:sz w:val="24"/>
          <w:szCs w:val="24"/>
          <w:lang w:val="en-GB"/>
        </w:rPr>
        <w:t xml:space="preserve">everyone needs a </w:t>
      </w:r>
      <w:r w:rsidRPr="007E64B9">
        <w:rPr>
          <w:rFonts w:eastAsia="Times New Roman"/>
          <w:sz w:val="24"/>
          <w:szCs w:val="24"/>
          <w:lang w:val="en-GB"/>
        </w:rPr>
        <w:t>home</w:t>
      </w:r>
      <w:r w:rsidR="00EA4E8F" w:rsidRPr="007E64B9">
        <w:rPr>
          <w:rFonts w:eastAsia="Times New Roman"/>
          <w:sz w:val="24"/>
          <w:szCs w:val="24"/>
          <w:lang w:val="en-GB"/>
        </w:rPr>
        <w:t>.</w:t>
      </w:r>
      <w:r w:rsidR="005010A5">
        <w:rPr>
          <w:rFonts w:eastAsia="Times New Roman"/>
          <w:sz w:val="24"/>
          <w:szCs w:val="24"/>
          <w:lang w:val="en-GB"/>
        </w:rPr>
        <w:t xml:space="preserve"> As a family living space. </w:t>
      </w:r>
      <w:r w:rsidR="007E64B9">
        <w:rPr>
          <w:rFonts w:eastAsia="Times New Roman"/>
          <w:sz w:val="24"/>
          <w:szCs w:val="24"/>
          <w:lang w:val="en-GB"/>
        </w:rPr>
        <w:t xml:space="preserve">Somewhere </w:t>
      </w:r>
      <w:r w:rsidR="00AF50C9" w:rsidRPr="007E64B9">
        <w:rPr>
          <w:rFonts w:eastAsia="Times New Roman"/>
          <w:sz w:val="24"/>
          <w:szCs w:val="24"/>
          <w:lang w:val="en-GB"/>
        </w:rPr>
        <w:t xml:space="preserve">to relax </w:t>
      </w:r>
      <w:r w:rsidRPr="007E64B9">
        <w:rPr>
          <w:rFonts w:eastAsia="Times New Roman"/>
          <w:sz w:val="24"/>
          <w:szCs w:val="24"/>
          <w:lang w:val="en-GB"/>
        </w:rPr>
        <w:t xml:space="preserve">after a </w:t>
      </w:r>
      <w:r w:rsidR="005010A5">
        <w:rPr>
          <w:rFonts w:eastAsia="Times New Roman"/>
          <w:sz w:val="24"/>
          <w:szCs w:val="24"/>
          <w:lang w:val="en-GB"/>
        </w:rPr>
        <w:t xml:space="preserve">long </w:t>
      </w:r>
      <w:r w:rsidRPr="007E64B9">
        <w:rPr>
          <w:rFonts w:eastAsia="Times New Roman"/>
          <w:sz w:val="24"/>
          <w:szCs w:val="24"/>
          <w:lang w:val="en-GB"/>
        </w:rPr>
        <w:t>day</w:t>
      </w:r>
      <w:r w:rsidR="00BA502E">
        <w:rPr>
          <w:rFonts w:eastAsia="Times New Roman"/>
          <w:sz w:val="24"/>
          <w:szCs w:val="24"/>
          <w:lang w:val="en-GB"/>
        </w:rPr>
        <w:t>’</w:t>
      </w:r>
      <w:r w:rsidR="003D7C68" w:rsidRPr="007E64B9">
        <w:rPr>
          <w:rFonts w:eastAsia="Times New Roman"/>
          <w:sz w:val="24"/>
          <w:szCs w:val="24"/>
          <w:lang w:val="en-GB"/>
        </w:rPr>
        <w:t xml:space="preserve">s </w:t>
      </w:r>
      <w:r w:rsidRPr="007E64B9">
        <w:rPr>
          <w:rFonts w:eastAsia="Times New Roman"/>
          <w:sz w:val="24"/>
          <w:szCs w:val="24"/>
          <w:lang w:val="en-GB"/>
        </w:rPr>
        <w:t>work</w:t>
      </w:r>
      <w:r w:rsidR="008604D2" w:rsidRPr="007E64B9">
        <w:rPr>
          <w:rFonts w:eastAsia="Times New Roman"/>
          <w:sz w:val="24"/>
          <w:szCs w:val="24"/>
          <w:lang w:val="en-GB"/>
        </w:rPr>
        <w:t xml:space="preserve">. </w:t>
      </w:r>
      <w:r w:rsidR="007E64B9">
        <w:rPr>
          <w:rFonts w:eastAsia="Times New Roman"/>
          <w:sz w:val="24"/>
          <w:szCs w:val="24"/>
          <w:lang w:val="en-GB"/>
        </w:rPr>
        <w:t xml:space="preserve">A place where </w:t>
      </w:r>
      <w:r w:rsidRPr="007E64B9">
        <w:rPr>
          <w:rFonts w:eastAsia="Times New Roman"/>
          <w:sz w:val="24"/>
          <w:szCs w:val="24"/>
          <w:lang w:val="en-GB"/>
        </w:rPr>
        <w:t>friends and family</w:t>
      </w:r>
      <w:r w:rsidR="007E64B9">
        <w:rPr>
          <w:rFonts w:eastAsia="Times New Roman"/>
          <w:sz w:val="24"/>
          <w:szCs w:val="24"/>
          <w:lang w:val="en-GB"/>
        </w:rPr>
        <w:t xml:space="preserve"> feel welcome</w:t>
      </w:r>
      <w:r w:rsidR="008604D2" w:rsidRPr="007E64B9">
        <w:rPr>
          <w:rFonts w:eastAsia="Times New Roman"/>
          <w:sz w:val="24"/>
          <w:szCs w:val="24"/>
          <w:lang w:val="en-GB"/>
        </w:rPr>
        <w:t xml:space="preserve">. </w:t>
      </w:r>
      <w:r w:rsidR="00AF50C9" w:rsidRPr="007E64B9">
        <w:rPr>
          <w:rFonts w:eastAsia="Times New Roman"/>
          <w:sz w:val="24"/>
          <w:szCs w:val="24"/>
          <w:lang w:val="en-GB"/>
        </w:rPr>
        <w:t xml:space="preserve">A safe </w:t>
      </w:r>
      <w:r w:rsidR="003D7C68" w:rsidRPr="007E64B9">
        <w:rPr>
          <w:rFonts w:eastAsia="Times New Roman"/>
          <w:sz w:val="24"/>
          <w:szCs w:val="24"/>
          <w:lang w:val="en-GB"/>
        </w:rPr>
        <w:t>haven</w:t>
      </w:r>
      <w:r w:rsidRPr="007E64B9">
        <w:rPr>
          <w:rFonts w:eastAsia="Times New Roman"/>
          <w:sz w:val="24"/>
          <w:szCs w:val="24"/>
          <w:lang w:val="en-GB"/>
        </w:rPr>
        <w:t xml:space="preserve"> after </w:t>
      </w:r>
      <w:r w:rsidR="005010A5">
        <w:rPr>
          <w:rFonts w:eastAsia="Times New Roman"/>
          <w:sz w:val="24"/>
          <w:szCs w:val="24"/>
          <w:lang w:val="en-GB"/>
        </w:rPr>
        <w:t>a surprise discovery</w:t>
      </w:r>
      <w:r w:rsidR="008604D2" w:rsidRPr="007E64B9">
        <w:rPr>
          <w:rFonts w:eastAsia="Times New Roman"/>
          <w:sz w:val="24"/>
          <w:szCs w:val="24"/>
          <w:lang w:val="en-GB"/>
        </w:rPr>
        <w:t xml:space="preserve">. </w:t>
      </w:r>
      <w:r w:rsidRPr="007E64B9">
        <w:rPr>
          <w:rFonts w:eastAsia="Times New Roman"/>
          <w:sz w:val="24"/>
          <w:szCs w:val="24"/>
          <w:lang w:val="en-GB"/>
        </w:rPr>
        <w:t xml:space="preserve">And </w:t>
      </w:r>
      <w:r w:rsidR="002C518D">
        <w:rPr>
          <w:rFonts w:eastAsia="Times New Roman"/>
          <w:sz w:val="24"/>
          <w:szCs w:val="24"/>
          <w:lang w:val="en-GB"/>
        </w:rPr>
        <w:t xml:space="preserve">who doesn’t enjoy returning to their familiar nest, even after a </w:t>
      </w:r>
      <w:r w:rsidR="00171CB6" w:rsidRPr="007E64B9">
        <w:rPr>
          <w:rFonts w:eastAsia="Times New Roman"/>
          <w:sz w:val="24"/>
          <w:szCs w:val="24"/>
          <w:lang w:val="en-GB"/>
        </w:rPr>
        <w:t xml:space="preserve">long-awaited and </w:t>
      </w:r>
      <w:r w:rsidR="002C518D">
        <w:rPr>
          <w:rFonts w:eastAsia="Times New Roman"/>
          <w:sz w:val="24"/>
          <w:szCs w:val="24"/>
          <w:lang w:val="en-GB"/>
        </w:rPr>
        <w:t>pleasurable holiday?</w:t>
      </w:r>
      <w:r w:rsidR="005010A5">
        <w:rPr>
          <w:rFonts w:eastAsia="Times New Roman"/>
          <w:sz w:val="24"/>
          <w:szCs w:val="24"/>
          <w:lang w:val="en-GB"/>
        </w:rPr>
        <w:t xml:space="preserve"> </w:t>
      </w:r>
      <w:r w:rsidR="00A51B1D">
        <w:rPr>
          <w:rFonts w:eastAsia="Times New Roman"/>
          <w:sz w:val="24"/>
          <w:szCs w:val="24"/>
          <w:lang w:val="en-GB"/>
        </w:rPr>
        <w:t xml:space="preserve">The </w:t>
      </w:r>
      <w:r w:rsidR="00171CB6" w:rsidRPr="007E64B9">
        <w:rPr>
          <w:rFonts w:eastAsia="Times New Roman"/>
          <w:sz w:val="24"/>
          <w:szCs w:val="24"/>
          <w:lang w:val="en-GB"/>
        </w:rPr>
        <w:t xml:space="preserve">need to create a sense of homeliness and cosiness </w:t>
      </w:r>
      <w:r w:rsidR="00A51B1D">
        <w:rPr>
          <w:rFonts w:eastAsia="Times New Roman"/>
          <w:sz w:val="24"/>
          <w:szCs w:val="24"/>
          <w:lang w:val="en-GB"/>
        </w:rPr>
        <w:t>is e</w:t>
      </w:r>
      <w:r w:rsidR="00A51B1D" w:rsidRPr="007E64B9">
        <w:rPr>
          <w:rFonts w:eastAsia="Times New Roman"/>
          <w:sz w:val="24"/>
          <w:szCs w:val="24"/>
          <w:lang w:val="en-GB"/>
        </w:rPr>
        <w:t>very furniture manufacturer</w:t>
      </w:r>
      <w:r w:rsidR="00BA502E">
        <w:rPr>
          <w:rFonts w:eastAsia="Times New Roman"/>
          <w:sz w:val="24"/>
          <w:szCs w:val="24"/>
          <w:lang w:val="en-GB"/>
        </w:rPr>
        <w:t>’</w:t>
      </w:r>
      <w:r w:rsidR="00A51B1D">
        <w:rPr>
          <w:rFonts w:eastAsia="Times New Roman"/>
          <w:sz w:val="24"/>
          <w:szCs w:val="24"/>
          <w:lang w:val="en-GB"/>
        </w:rPr>
        <w:t>s</w:t>
      </w:r>
      <w:r w:rsidR="00A51B1D" w:rsidRPr="007E64B9">
        <w:rPr>
          <w:rFonts w:eastAsia="Times New Roman"/>
          <w:sz w:val="24"/>
          <w:szCs w:val="24"/>
          <w:lang w:val="en-GB"/>
        </w:rPr>
        <w:t xml:space="preserve"> start</w:t>
      </w:r>
      <w:r w:rsidR="00A51B1D">
        <w:rPr>
          <w:rFonts w:eastAsia="Times New Roman"/>
          <w:sz w:val="24"/>
          <w:szCs w:val="24"/>
          <w:lang w:val="en-GB"/>
        </w:rPr>
        <w:t xml:space="preserve">ing point. </w:t>
      </w:r>
      <w:r w:rsidR="003D7C68" w:rsidRPr="007E64B9">
        <w:rPr>
          <w:rFonts w:eastAsia="Times New Roman"/>
          <w:sz w:val="24"/>
          <w:szCs w:val="24"/>
          <w:lang w:val="en-GB"/>
        </w:rPr>
        <w:t xml:space="preserve">And </w:t>
      </w:r>
      <w:r w:rsidR="00A51B1D">
        <w:rPr>
          <w:rFonts w:eastAsia="Times New Roman"/>
          <w:sz w:val="24"/>
          <w:szCs w:val="24"/>
          <w:lang w:val="en-GB"/>
        </w:rPr>
        <w:t xml:space="preserve">we, </w:t>
      </w:r>
      <w:r w:rsidR="00171CB6" w:rsidRPr="007E64B9">
        <w:rPr>
          <w:rFonts w:eastAsia="Times New Roman"/>
          <w:sz w:val="24"/>
          <w:szCs w:val="24"/>
          <w:lang w:val="en-GB"/>
        </w:rPr>
        <w:t xml:space="preserve">as the fair </w:t>
      </w:r>
      <w:r w:rsidRPr="007E64B9">
        <w:rPr>
          <w:rFonts w:eastAsia="Times New Roman"/>
          <w:sz w:val="24"/>
          <w:szCs w:val="24"/>
          <w:lang w:val="en-GB"/>
        </w:rPr>
        <w:t>organi</w:t>
      </w:r>
      <w:r w:rsidR="003637E0">
        <w:rPr>
          <w:rFonts w:eastAsia="Times New Roman"/>
          <w:sz w:val="24"/>
          <w:szCs w:val="24"/>
          <w:lang w:val="en-GB"/>
        </w:rPr>
        <w:t>z</w:t>
      </w:r>
      <w:r w:rsidRPr="007E64B9">
        <w:rPr>
          <w:rFonts w:eastAsia="Times New Roman"/>
          <w:sz w:val="24"/>
          <w:szCs w:val="24"/>
          <w:lang w:val="en-GB"/>
        </w:rPr>
        <w:t>ers</w:t>
      </w:r>
      <w:r w:rsidR="00EA7C48" w:rsidRPr="007E64B9">
        <w:rPr>
          <w:rFonts w:eastAsia="Times New Roman"/>
          <w:sz w:val="24"/>
          <w:szCs w:val="24"/>
          <w:lang w:val="en-GB"/>
        </w:rPr>
        <w:t>,</w:t>
      </w:r>
      <w:r w:rsidRPr="007E64B9">
        <w:rPr>
          <w:rFonts w:eastAsia="Times New Roman"/>
          <w:sz w:val="24"/>
          <w:szCs w:val="24"/>
          <w:lang w:val="en-GB"/>
        </w:rPr>
        <w:t xml:space="preserve"> </w:t>
      </w:r>
      <w:r w:rsidR="00A51B1D">
        <w:rPr>
          <w:rFonts w:eastAsia="Times New Roman"/>
          <w:sz w:val="24"/>
          <w:szCs w:val="24"/>
          <w:lang w:val="en-GB"/>
        </w:rPr>
        <w:t xml:space="preserve">also </w:t>
      </w:r>
      <w:r w:rsidR="005010A5">
        <w:rPr>
          <w:rFonts w:eastAsia="Times New Roman"/>
          <w:sz w:val="24"/>
          <w:szCs w:val="24"/>
          <w:lang w:val="en-GB"/>
        </w:rPr>
        <w:t xml:space="preserve">put conviviality </w:t>
      </w:r>
      <w:r w:rsidRPr="007E64B9">
        <w:rPr>
          <w:rFonts w:eastAsia="Times New Roman"/>
          <w:sz w:val="24"/>
          <w:szCs w:val="24"/>
          <w:lang w:val="en-GB"/>
        </w:rPr>
        <w:t>and a warm welcome</w:t>
      </w:r>
      <w:r w:rsidR="005010A5">
        <w:rPr>
          <w:rFonts w:eastAsia="Times New Roman"/>
          <w:sz w:val="24"/>
          <w:szCs w:val="24"/>
          <w:lang w:val="en-GB"/>
        </w:rPr>
        <w:t xml:space="preserve"> first</w:t>
      </w:r>
      <w:r w:rsidR="008604D2" w:rsidRPr="007E64B9">
        <w:rPr>
          <w:rFonts w:eastAsia="Times New Roman"/>
          <w:sz w:val="24"/>
          <w:szCs w:val="24"/>
          <w:lang w:val="en-GB"/>
        </w:rPr>
        <w:t>.</w:t>
      </w:r>
    </w:p>
    <w:p w14:paraId="1E6FFB7B" w14:textId="77777777" w:rsidR="004968FD" w:rsidRPr="007E64B9" w:rsidRDefault="004968FD" w:rsidP="008830E9">
      <w:pPr>
        <w:spacing w:after="0" w:line="240" w:lineRule="auto"/>
        <w:jc w:val="both"/>
        <w:rPr>
          <w:rFonts w:eastAsia="Times New Roman"/>
          <w:sz w:val="24"/>
          <w:szCs w:val="24"/>
          <w:lang w:val="en-GB"/>
        </w:rPr>
      </w:pPr>
    </w:p>
    <w:p w14:paraId="724DE667" w14:textId="38F085B8" w:rsidR="004968FD" w:rsidRPr="00D62B7A" w:rsidRDefault="004968FD" w:rsidP="008830E9">
      <w:pPr>
        <w:spacing w:after="0" w:line="240" w:lineRule="auto"/>
        <w:jc w:val="both"/>
        <w:rPr>
          <w:rFonts w:eastAsia="Times New Roman"/>
          <w:sz w:val="24"/>
          <w:szCs w:val="24"/>
          <w:lang w:val="en-GB"/>
        </w:rPr>
      </w:pPr>
      <w:r w:rsidRPr="007E64B9">
        <w:rPr>
          <w:rFonts w:eastAsia="Times New Roman"/>
          <w:b/>
          <w:bCs/>
          <w:sz w:val="24"/>
          <w:szCs w:val="24"/>
          <w:lang w:val="en-GB"/>
        </w:rPr>
        <w:t>Growing</w:t>
      </w:r>
      <w:r w:rsidRPr="007E64B9">
        <w:rPr>
          <w:rFonts w:eastAsia="Times New Roman"/>
          <w:sz w:val="24"/>
          <w:szCs w:val="24"/>
          <w:lang w:val="en-GB"/>
        </w:rPr>
        <w:t xml:space="preserve"> Homes: </w:t>
      </w:r>
      <w:r w:rsidR="00105B28">
        <w:rPr>
          <w:rFonts w:eastAsia="Times New Roman"/>
          <w:sz w:val="24"/>
          <w:szCs w:val="24"/>
          <w:lang w:val="en-GB"/>
        </w:rPr>
        <w:t xml:space="preserve">In recent years, we have placed the emphasis on </w:t>
      </w:r>
      <w:r w:rsidR="00D058FC">
        <w:rPr>
          <w:rFonts w:eastAsia="Times New Roman"/>
          <w:sz w:val="24"/>
          <w:szCs w:val="24"/>
          <w:lang w:val="en-GB"/>
        </w:rPr>
        <w:t>b</w:t>
      </w:r>
      <w:r w:rsidR="00A51B1D">
        <w:rPr>
          <w:rFonts w:eastAsia="Times New Roman"/>
          <w:sz w:val="24"/>
          <w:szCs w:val="24"/>
          <w:lang w:val="en-GB"/>
        </w:rPr>
        <w:t xml:space="preserve">uilding </w:t>
      </w:r>
      <w:r w:rsidR="00C05A92">
        <w:rPr>
          <w:rFonts w:eastAsia="Times New Roman"/>
          <w:sz w:val="24"/>
          <w:szCs w:val="24"/>
          <w:lang w:val="en-GB"/>
        </w:rPr>
        <w:t xml:space="preserve">a </w:t>
      </w:r>
      <w:r w:rsidR="00525959" w:rsidRPr="007E64B9">
        <w:rPr>
          <w:rFonts w:eastAsia="Times New Roman"/>
          <w:sz w:val="24"/>
          <w:szCs w:val="24"/>
          <w:lang w:val="en-GB"/>
        </w:rPr>
        <w:t>solid foundation</w:t>
      </w:r>
      <w:r w:rsidR="00A51B1D">
        <w:rPr>
          <w:rFonts w:eastAsia="Times New Roman"/>
          <w:sz w:val="24"/>
          <w:szCs w:val="24"/>
          <w:lang w:val="en-GB"/>
        </w:rPr>
        <w:t xml:space="preserve">. </w:t>
      </w:r>
      <w:r w:rsidR="00A51B1D" w:rsidRPr="00D62B7A">
        <w:rPr>
          <w:rFonts w:eastAsia="Times New Roman"/>
          <w:sz w:val="24"/>
          <w:szCs w:val="24"/>
          <w:lang w:val="en-GB"/>
        </w:rPr>
        <w:t>Th</w:t>
      </w:r>
      <w:r w:rsidR="00BA502E" w:rsidRPr="00D62B7A">
        <w:rPr>
          <w:rFonts w:eastAsia="Times New Roman"/>
          <w:sz w:val="24"/>
          <w:szCs w:val="24"/>
          <w:lang w:val="en-GB"/>
        </w:rPr>
        <w:t>e</w:t>
      </w:r>
      <w:r w:rsidR="00A51B1D" w:rsidRPr="00D62B7A">
        <w:rPr>
          <w:rFonts w:eastAsia="Times New Roman"/>
          <w:sz w:val="24"/>
          <w:szCs w:val="24"/>
          <w:lang w:val="en-GB"/>
        </w:rPr>
        <w:t xml:space="preserve"> all-important </w:t>
      </w:r>
      <w:r w:rsidR="00D058FC" w:rsidRPr="00D62B7A">
        <w:rPr>
          <w:rFonts w:eastAsia="Times New Roman"/>
          <w:sz w:val="24"/>
          <w:szCs w:val="24"/>
          <w:lang w:val="en-GB"/>
        </w:rPr>
        <w:t xml:space="preserve">base that guarantees </w:t>
      </w:r>
      <w:r w:rsidR="00F458C1" w:rsidRPr="00D62B7A">
        <w:rPr>
          <w:rFonts w:eastAsia="Times New Roman"/>
          <w:sz w:val="24"/>
          <w:szCs w:val="24"/>
          <w:lang w:val="en-GB"/>
        </w:rPr>
        <w:t>confidence</w:t>
      </w:r>
      <w:r w:rsidR="00D058FC" w:rsidRPr="00D62B7A">
        <w:rPr>
          <w:rFonts w:eastAsia="Times New Roman"/>
          <w:sz w:val="24"/>
          <w:szCs w:val="24"/>
          <w:lang w:val="en-GB"/>
        </w:rPr>
        <w:t xml:space="preserve"> and consist</w:t>
      </w:r>
      <w:r w:rsidR="003637E0" w:rsidRPr="00D62B7A">
        <w:rPr>
          <w:rFonts w:eastAsia="Times New Roman"/>
          <w:sz w:val="24"/>
          <w:szCs w:val="24"/>
          <w:lang w:val="en-GB"/>
        </w:rPr>
        <w:t>e</w:t>
      </w:r>
      <w:r w:rsidR="00D058FC" w:rsidRPr="00D62B7A">
        <w:rPr>
          <w:rFonts w:eastAsia="Times New Roman"/>
          <w:sz w:val="24"/>
          <w:szCs w:val="24"/>
          <w:lang w:val="en-GB"/>
        </w:rPr>
        <w:t xml:space="preserve">ncy, which is what our </w:t>
      </w:r>
      <w:r w:rsidR="004F40E9" w:rsidRPr="00D62B7A">
        <w:rPr>
          <w:rFonts w:eastAsia="Times New Roman"/>
          <w:sz w:val="24"/>
          <w:szCs w:val="24"/>
          <w:lang w:val="en-GB"/>
        </w:rPr>
        <w:t>exhibitor</w:t>
      </w:r>
      <w:r w:rsidR="00D058FC" w:rsidRPr="00D62B7A">
        <w:rPr>
          <w:rFonts w:eastAsia="Times New Roman"/>
          <w:sz w:val="24"/>
          <w:szCs w:val="24"/>
          <w:lang w:val="en-GB"/>
        </w:rPr>
        <w:t>s</w:t>
      </w:r>
      <w:r w:rsidR="00A51B1D" w:rsidRPr="00D62B7A">
        <w:rPr>
          <w:rFonts w:eastAsia="Times New Roman"/>
          <w:sz w:val="24"/>
          <w:szCs w:val="24"/>
          <w:lang w:val="en-GB"/>
        </w:rPr>
        <w:t xml:space="preserve"> </w:t>
      </w:r>
      <w:r w:rsidR="004F40E9" w:rsidRPr="00D62B7A">
        <w:rPr>
          <w:rFonts w:eastAsia="Times New Roman"/>
          <w:sz w:val="24"/>
          <w:szCs w:val="24"/>
          <w:lang w:val="en-GB"/>
        </w:rPr>
        <w:t>and</w:t>
      </w:r>
      <w:r w:rsidR="00171CB6" w:rsidRPr="00D62B7A">
        <w:rPr>
          <w:rFonts w:eastAsia="Times New Roman"/>
          <w:sz w:val="24"/>
          <w:szCs w:val="24"/>
          <w:lang w:val="en-GB"/>
        </w:rPr>
        <w:t xml:space="preserve"> visitor</w:t>
      </w:r>
      <w:r w:rsidR="00BA502E" w:rsidRPr="00D62B7A">
        <w:rPr>
          <w:rFonts w:eastAsia="Times New Roman"/>
          <w:sz w:val="24"/>
          <w:szCs w:val="24"/>
          <w:lang w:val="en-GB"/>
        </w:rPr>
        <w:t>s desire</w:t>
      </w:r>
      <w:r w:rsidR="00D058FC" w:rsidRPr="00D62B7A">
        <w:rPr>
          <w:rFonts w:eastAsia="Times New Roman"/>
          <w:sz w:val="24"/>
          <w:szCs w:val="24"/>
          <w:lang w:val="en-GB"/>
        </w:rPr>
        <w:t xml:space="preserve">. It was </w:t>
      </w:r>
      <w:r w:rsidR="00171CB6" w:rsidRPr="00D62B7A">
        <w:rPr>
          <w:rFonts w:eastAsia="Times New Roman"/>
          <w:sz w:val="24"/>
          <w:szCs w:val="24"/>
          <w:lang w:val="en-GB"/>
        </w:rPr>
        <w:t xml:space="preserve">the powerful message of </w:t>
      </w:r>
      <w:r w:rsidR="00171CB6" w:rsidRPr="007E64B9">
        <w:rPr>
          <w:rFonts w:eastAsia="Times New Roman"/>
          <w:sz w:val="24"/>
          <w:szCs w:val="24"/>
          <w:lang w:val="en-GB"/>
        </w:rPr>
        <w:t>l</w:t>
      </w:r>
      <w:r w:rsidR="0072267C" w:rsidRPr="007E64B9">
        <w:rPr>
          <w:rFonts w:eastAsia="Times New Roman"/>
          <w:sz w:val="24"/>
          <w:szCs w:val="24"/>
          <w:lang w:val="en-GB"/>
        </w:rPr>
        <w:t>ast year</w:t>
      </w:r>
      <w:r w:rsidR="00BA502E">
        <w:rPr>
          <w:rFonts w:eastAsia="Times New Roman"/>
          <w:sz w:val="24"/>
          <w:szCs w:val="24"/>
          <w:lang w:val="en-GB"/>
        </w:rPr>
        <w:t>’</w:t>
      </w:r>
      <w:r w:rsidR="0072267C" w:rsidRPr="007E64B9">
        <w:rPr>
          <w:rFonts w:eastAsia="Times New Roman"/>
          <w:sz w:val="24"/>
          <w:szCs w:val="24"/>
          <w:lang w:val="en-GB"/>
        </w:rPr>
        <w:t xml:space="preserve">s campaign, </w:t>
      </w:r>
      <w:r w:rsidR="00BA502E">
        <w:rPr>
          <w:rFonts w:eastAsia="Times New Roman"/>
          <w:sz w:val="24"/>
          <w:szCs w:val="24"/>
          <w:lang w:val="en-GB"/>
        </w:rPr>
        <w:t>‘</w:t>
      </w:r>
      <w:r w:rsidR="00525959" w:rsidRPr="007E64B9">
        <w:rPr>
          <w:rFonts w:eastAsia="Times New Roman"/>
          <w:sz w:val="24"/>
          <w:szCs w:val="24"/>
          <w:lang w:val="en-GB"/>
        </w:rPr>
        <w:t xml:space="preserve">The Future is </w:t>
      </w:r>
      <w:proofErr w:type="spellStart"/>
      <w:r w:rsidR="00525959" w:rsidRPr="007E64B9">
        <w:rPr>
          <w:rFonts w:eastAsia="Times New Roman"/>
          <w:sz w:val="24"/>
          <w:szCs w:val="24"/>
          <w:lang w:val="en-GB"/>
        </w:rPr>
        <w:t>FurNature</w:t>
      </w:r>
      <w:proofErr w:type="spellEnd"/>
      <w:r w:rsidR="00BA502E">
        <w:rPr>
          <w:rFonts w:eastAsia="Times New Roman"/>
          <w:sz w:val="24"/>
          <w:szCs w:val="24"/>
          <w:lang w:val="en-GB"/>
        </w:rPr>
        <w:t>’</w:t>
      </w:r>
      <w:r w:rsidR="006835AA" w:rsidRPr="007E64B9">
        <w:rPr>
          <w:rFonts w:eastAsia="Times New Roman"/>
          <w:sz w:val="24"/>
          <w:szCs w:val="24"/>
          <w:lang w:val="en-GB"/>
        </w:rPr>
        <w:t xml:space="preserve">, and we </w:t>
      </w:r>
      <w:r w:rsidR="00D058FC">
        <w:rPr>
          <w:rFonts w:eastAsia="Times New Roman"/>
          <w:sz w:val="24"/>
          <w:szCs w:val="24"/>
          <w:lang w:val="en-GB"/>
        </w:rPr>
        <w:t xml:space="preserve">are constantly looking to the </w:t>
      </w:r>
      <w:r w:rsidR="00171CB6" w:rsidRPr="007E64B9">
        <w:rPr>
          <w:rFonts w:eastAsia="Times New Roman"/>
          <w:sz w:val="24"/>
          <w:szCs w:val="24"/>
          <w:lang w:val="en-GB"/>
        </w:rPr>
        <w:t>future in terms of development</w:t>
      </w:r>
      <w:r w:rsidRPr="007E64B9">
        <w:rPr>
          <w:rFonts w:eastAsia="Times New Roman"/>
          <w:sz w:val="24"/>
          <w:szCs w:val="24"/>
          <w:lang w:val="en-GB"/>
        </w:rPr>
        <w:t xml:space="preserve">. </w:t>
      </w:r>
      <w:r w:rsidR="00525959" w:rsidRPr="007E64B9">
        <w:rPr>
          <w:rFonts w:eastAsia="Times New Roman"/>
          <w:sz w:val="24"/>
          <w:szCs w:val="24"/>
          <w:lang w:val="en-GB"/>
        </w:rPr>
        <w:t xml:space="preserve">The word growth in our slogan </w:t>
      </w:r>
      <w:r w:rsidR="00D058FC">
        <w:rPr>
          <w:rFonts w:eastAsia="Times New Roman"/>
          <w:sz w:val="24"/>
          <w:szCs w:val="24"/>
          <w:lang w:val="en-GB"/>
        </w:rPr>
        <w:t>doesn</w:t>
      </w:r>
      <w:r w:rsidR="00BA502E">
        <w:rPr>
          <w:rFonts w:eastAsia="Times New Roman"/>
          <w:sz w:val="24"/>
          <w:szCs w:val="24"/>
          <w:lang w:val="en-GB"/>
        </w:rPr>
        <w:t>’</w:t>
      </w:r>
      <w:r w:rsidR="00D058FC">
        <w:rPr>
          <w:rFonts w:eastAsia="Times New Roman"/>
          <w:sz w:val="24"/>
          <w:szCs w:val="24"/>
          <w:lang w:val="en-GB"/>
        </w:rPr>
        <w:t xml:space="preserve">t </w:t>
      </w:r>
      <w:r w:rsidR="00525959" w:rsidRPr="007E64B9">
        <w:rPr>
          <w:rFonts w:eastAsia="Times New Roman"/>
          <w:sz w:val="24"/>
          <w:szCs w:val="24"/>
          <w:lang w:val="en-GB"/>
        </w:rPr>
        <w:t xml:space="preserve">necessarily </w:t>
      </w:r>
      <w:r w:rsidR="00D058FC">
        <w:rPr>
          <w:rFonts w:eastAsia="Times New Roman"/>
          <w:sz w:val="24"/>
          <w:szCs w:val="24"/>
          <w:lang w:val="en-GB"/>
        </w:rPr>
        <w:t xml:space="preserve">reference </w:t>
      </w:r>
      <w:r w:rsidR="00525959" w:rsidRPr="007E64B9">
        <w:rPr>
          <w:rFonts w:eastAsia="Times New Roman"/>
          <w:sz w:val="24"/>
          <w:szCs w:val="24"/>
          <w:lang w:val="en-GB"/>
        </w:rPr>
        <w:t>surface area</w:t>
      </w:r>
      <w:r w:rsidR="006835AA" w:rsidRPr="007E64B9">
        <w:rPr>
          <w:rFonts w:eastAsia="Times New Roman"/>
          <w:sz w:val="24"/>
          <w:szCs w:val="24"/>
          <w:lang w:val="en-GB"/>
        </w:rPr>
        <w:t xml:space="preserve"> or exhibitor numbers</w:t>
      </w:r>
      <w:r w:rsidRPr="007E64B9">
        <w:rPr>
          <w:rFonts w:eastAsia="Times New Roman"/>
          <w:sz w:val="24"/>
          <w:szCs w:val="24"/>
          <w:lang w:val="en-GB"/>
        </w:rPr>
        <w:t xml:space="preserve">. </w:t>
      </w:r>
      <w:r w:rsidR="00171CB6" w:rsidRPr="007E64B9">
        <w:rPr>
          <w:rFonts w:eastAsia="Times New Roman"/>
          <w:sz w:val="24"/>
          <w:szCs w:val="24"/>
          <w:lang w:val="en-GB"/>
        </w:rPr>
        <w:t xml:space="preserve">It </w:t>
      </w:r>
      <w:r w:rsidR="00D058FC">
        <w:rPr>
          <w:rFonts w:eastAsia="Times New Roman"/>
          <w:sz w:val="24"/>
          <w:szCs w:val="24"/>
          <w:lang w:val="en-GB"/>
        </w:rPr>
        <w:t xml:space="preserve">also </w:t>
      </w:r>
      <w:r w:rsidR="00171CB6" w:rsidRPr="007E64B9">
        <w:rPr>
          <w:rFonts w:eastAsia="Times New Roman"/>
          <w:sz w:val="24"/>
          <w:szCs w:val="24"/>
          <w:lang w:val="en-GB"/>
        </w:rPr>
        <w:t xml:space="preserve">means </w:t>
      </w:r>
      <w:r w:rsidR="00D058FC">
        <w:rPr>
          <w:rFonts w:eastAsia="Times New Roman"/>
          <w:sz w:val="24"/>
          <w:szCs w:val="24"/>
          <w:lang w:val="en-GB"/>
        </w:rPr>
        <w:t xml:space="preserve">a </w:t>
      </w:r>
      <w:r w:rsidR="00525959" w:rsidRPr="007E64B9">
        <w:rPr>
          <w:rFonts w:eastAsia="Times New Roman"/>
          <w:sz w:val="24"/>
          <w:szCs w:val="24"/>
          <w:lang w:val="en-GB"/>
        </w:rPr>
        <w:t xml:space="preserve">healthy </w:t>
      </w:r>
      <w:r w:rsidR="00171CB6" w:rsidRPr="007E64B9">
        <w:rPr>
          <w:rFonts w:eastAsia="Times New Roman"/>
          <w:sz w:val="24"/>
          <w:szCs w:val="24"/>
          <w:lang w:val="en-GB"/>
        </w:rPr>
        <w:t xml:space="preserve">evolution </w:t>
      </w:r>
      <w:r w:rsidR="006835AA" w:rsidRPr="007E64B9">
        <w:rPr>
          <w:rFonts w:eastAsia="Times New Roman"/>
          <w:sz w:val="24"/>
          <w:szCs w:val="24"/>
          <w:lang w:val="en-GB"/>
        </w:rPr>
        <w:t xml:space="preserve">towards an even more </w:t>
      </w:r>
      <w:r w:rsidR="00525959" w:rsidRPr="007E64B9">
        <w:rPr>
          <w:rFonts w:eastAsia="Times New Roman"/>
          <w:sz w:val="24"/>
          <w:szCs w:val="24"/>
          <w:lang w:val="en-GB"/>
        </w:rPr>
        <w:t>qualitative, modern and efficient fair.</w:t>
      </w:r>
    </w:p>
    <w:p w14:paraId="772646CF" w14:textId="77777777" w:rsidR="00D058FC" w:rsidRDefault="00D058FC" w:rsidP="008830E9">
      <w:pPr>
        <w:spacing w:after="0" w:line="240" w:lineRule="auto"/>
        <w:jc w:val="both"/>
        <w:rPr>
          <w:rFonts w:eastAsia="Times New Roman"/>
          <w:b/>
          <w:bCs/>
          <w:sz w:val="24"/>
          <w:szCs w:val="24"/>
          <w:lang w:val="en-GB"/>
        </w:rPr>
      </w:pPr>
    </w:p>
    <w:p w14:paraId="5D2692D3" w14:textId="6E8D62F8" w:rsidR="004968FD" w:rsidRPr="007E64B9" w:rsidRDefault="002C518D" w:rsidP="008830E9">
      <w:pPr>
        <w:spacing w:after="0" w:line="240" w:lineRule="auto"/>
        <w:jc w:val="both"/>
        <w:rPr>
          <w:rFonts w:eastAsia="Times New Roman"/>
          <w:b/>
          <w:bCs/>
          <w:sz w:val="24"/>
          <w:szCs w:val="24"/>
          <w:lang w:val="en-GB"/>
        </w:rPr>
      </w:pPr>
      <w:r>
        <w:rPr>
          <w:rFonts w:eastAsia="Times New Roman"/>
          <w:b/>
          <w:bCs/>
          <w:sz w:val="24"/>
          <w:szCs w:val="24"/>
          <w:lang w:val="en-GB"/>
        </w:rPr>
        <w:t>So w</w:t>
      </w:r>
      <w:r w:rsidR="004968FD" w:rsidRPr="007E64B9">
        <w:rPr>
          <w:rFonts w:eastAsia="Times New Roman"/>
          <w:b/>
          <w:bCs/>
          <w:sz w:val="24"/>
          <w:szCs w:val="24"/>
          <w:lang w:val="en-GB"/>
        </w:rPr>
        <w:t>hat</w:t>
      </w:r>
      <w:r w:rsidR="00BA502E">
        <w:rPr>
          <w:rFonts w:eastAsia="Times New Roman"/>
          <w:b/>
          <w:bCs/>
          <w:sz w:val="24"/>
          <w:szCs w:val="24"/>
          <w:lang w:val="en-GB"/>
        </w:rPr>
        <w:t>’</w:t>
      </w:r>
      <w:r w:rsidR="004968FD" w:rsidRPr="007E64B9">
        <w:rPr>
          <w:rFonts w:eastAsia="Times New Roman"/>
          <w:b/>
          <w:bCs/>
          <w:sz w:val="24"/>
          <w:szCs w:val="24"/>
          <w:lang w:val="en-GB"/>
        </w:rPr>
        <w:t>s new?</w:t>
      </w:r>
    </w:p>
    <w:p w14:paraId="2A2DA68A" w14:textId="77777777" w:rsidR="00C72813" w:rsidRPr="007E64B9" w:rsidRDefault="00C72813" w:rsidP="008830E9">
      <w:pPr>
        <w:spacing w:after="0" w:line="240" w:lineRule="auto"/>
        <w:jc w:val="both"/>
        <w:rPr>
          <w:rFonts w:eastAsia="Times New Roman"/>
          <w:b/>
          <w:bCs/>
          <w:sz w:val="24"/>
          <w:szCs w:val="24"/>
          <w:lang w:val="en-GB"/>
        </w:rPr>
      </w:pPr>
    </w:p>
    <w:p w14:paraId="55680538" w14:textId="4B45A416" w:rsidR="00BF12BC" w:rsidRPr="007E64B9" w:rsidRDefault="002C518D" w:rsidP="008830E9">
      <w:pPr>
        <w:spacing w:after="0" w:line="240" w:lineRule="auto"/>
        <w:jc w:val="both"/>
        <w:rPr>
          <w:rFonts w:eastAsia="Times New Roman"/>
          <w:sz w:val="24"/>
          <w:szCs w:val="24"/>
          <w:lang w:val="en-GB"/>
        </w:rPr>
      </w:pPr>
      <w:r>
        <w:rPr>
          <w:rFonts w:eastAsia="Times New Roman"/>
          <w:sz w:val="24"/>
          <w:szCs w:val="24"/>
          <w:lang w:val="en-GB"/>
        </w:rPr>
        <w:t xml:space="preserve">To achieve our goal, we are </w:t>
      </w:r>
      <w:r w:rsidR="00525959" w:rsidRPr="007E64B9">
        <w:rPr>
          <w:rFonts w:eastAsia="Times New Roman"/>
          <w:sz w:val="24"/>
          <w:szCs w:val="24"/>
          <w:lang w:val="en-GB"/>
        </w:rPr>
        <w:t>building on what makes Brussels exceptional today (think hospitality, hal</w:t>
      </w:r>
      <w:r w:rsidR="00D058FC">
        <w:rPr>
          <w:rFonts w:eastAsia="Times New Roman"/>
          <w:sz w:val="24"/>
          <w:szCs w:val="24"/>
          <w:lang w:val="en-GB"/>
        </w:rPr>
        <w:t>l decoration</w:t>
      </w:r>
      <w:r w:rsidR="00525959" w:rsidRPr="007E64B9">
        <w:rPr>
          <w:rFonts w:eastAsia="Times New Roman"/>
          <w:sz w:val="24"/>
          <w:szCs w:val="24"/>
          <w:lang w:val="en-GB"/>
        </w:rPr>
        <w:t>, entertainment) and, of course,</w:t>
      </w:r>
      <w:r w:rsidR="0072267C" w:rsidRPr="007E64B9">
        <w:rPr>
          <w:rFonts w:eastAsia="Times New Roman"/>
          <w:sz w:val="24"/>
          <w:szCs w:val="24"/>
          <w:lang w:val="en-GB"/>
        </w:rPr>
        <w:t xml:space="preserve"> innovation</w:t>
      </w:r>
      <w:r w:rsidR="00E845EC" w:rsidRPr="007E64B9">
        <w:rPr>
          <w:rFonts w:eastAsia="Times New Roman"/>
          <w:sz w:val="24"/>
          <w:szCs w:val="24"/>
          <w:lang w:val="en-GB"/>
        </w:rPr>
        <w:t xml:space="preserve">. </w:t>
      </w:r>
      <w:r w:rsidR="006835AA" w:rsidRPr="007E64B9">
        <w:rPr>
          <w:rFonts w:eastAsia="Times New Roman"/>
          <w:sz w:val="24"/>
          <w:szCs w:val="24"/>
          <w:lang w:val="en-GB"/>
        </w:rPr>
        <w:t xml:space="preserve">Here, the key question is </w:t>
      </w:r>
      <w:r w:rsidR="0072267C" w:rsidRPr="007E64B9">
        <w:rPr>
          <w:rFonts w:eastAsia="Times New Roman"/>
          <w:sz w:val="24"/>
          <w:szCs w:val="24"/>
          <w:lang w:val="en-GB"/>
        </w:rPr>
        <w:t>h</w:t>
      </w:r>
      <w:r w:rsidR="00525959" w:rsidRPr="007E64B9">
        <w:rPr>
          <w:rFonts w:eastAsia="Times New Roman"/>
          <w:sz w:val="24"/>
          <w:szCs w:val="24"/>
          <w:lang w:val="en-GB"/>
        </w:rPr>
        <w:t xml:space="preserve">ow </w:t>
      </w:r>
      <w:r w:rsidR="006835AA" w:rsidRPr="007E64B9">
        <w:rPr>
          <w:rFonts w:eastAsia="Times New Roman"/>
          <w:sz w:val="24"/>
          <w:szCs w:val="24"/>
          <w:lang w:val="en-GB"/>
        </w:rPr>
        <w:t xml:space="preserve">to </w:t>
      </w:r>
      <w:r w:rsidR="00D058FC">
        <w:rPr>
          <w:rFonts w:eastAsia="Times New Roman"/>
          <w:sz w:val="24"/>
          <w:szCs w:val="24"/>
          <w:lang w:val="en-GB"/>
        </w:rPr>
        <w:t xml:space="preserve">maintain </w:t>
      </w:r>
      <w:r w:rsidR="00525959" w:rsidRPr="007E64B9">
        <w:rPr>
          <w:rFonts w:eastAsia="Times New Roman"/>
          <w:sz w:val="24"/>
          <w:szCs w:val="24"/>
          <w:lang w:val="en-GB"/>
        </w:rPr>
        <w:t xml:space="preserve">visitor </w:t>
      </w:r>
      <w:r w:rsidR="00D058FC">
        <w:rPr>
          <w:rFonts w:eastAsia="Times New Roman"/>
          <w:sz w:val="24"/>
          <w:szCs w:val="24"/>
          <w:lang w:val="en-GB"/>
        </w:rPr>
        <w:t xml:space="preserve">enthusiasm </w:t>
      </w:r>
      <w:r w:rsidR="005010A5">
        <w:rPr>
          <w:rFonts w:eastAsia="Times New Roman"/>
          <w:sz w:val="24"/>
          <w:szCs w:val="24"/>
          <w:lang w:val="en-GB"/>
        </w:rPr>
        <w:t xml:space="preserve">and generate </w:t>
      </w:r>
      <w:r w:rsidR="00525959" w:rsidRPr="007E64B9">
        <w:rPr>
          <w:rFonts w:eastAsia="Times New Roman"/>
          <w:sz w:val="24"/>
          <w:szCs w:val="24"/>
          <w:lang w:val="en-GB"/>
        </w:rPr>
        <w:t>additional interest</w:t>
      </w:r>
      <w:r w:rsidR="006835AA" w:rsidRPr="007E64B9">
        <w:rPr>
          <w:rFonts w:eastAsia="Times New Roman"/>
          <w:sz w:val="24"/>
          <w:szCs w:val="24"/>
          <w:lang w:val="en-GB"/>
        </w:rPr>
        <w:t>.</w:t>
      </w:r>
    </w:p>
    <w:p w14:paraId="55441372" w14:textId="77777777" w:rsidR="00E845EC" w:rsidRPr="007E64B9" w:rsidRDefault="00E845EC" w:rsidP="008830E9">
      <w:pPr>
        <w:spacing w:after="0" w:line="240" w:lineRule="auto"/>
        <w:jc w:val="both"/>
        <w:rPr>
          <w:rFonts w:eastAsia="Times New Roman"/>
          <w:sz w:val="24"/>
          <w:szCs w:val="24"/>
          <w:lang w:val="en-GB"/>
        </w:rPr>
      </w:pPr>
    </w:p>
    <w:p w14:paraId="48408968" w14:textId="1C31A9BD" w:rsidR="00E845EC" w:rsidRPr="007E64B9" w:rsidRDefault="00E845EC" w:rsidP="008830E9">
      <w:pPr>
        <w:spacing w:after="0" w:line="240" w:lineRule="auto"/>
        <w:jc w:val="both"/>
        <w:rPr>
          <w:rFonts w:eastAsia="Times New Roman"/>
          <w:b/>
          <w:bCs/>
          <w:sz w:val="24"/>
          <w:szCs w:val="24"/>
          <w:lang w:val="en-GB"/>
        </w:rPr>
      </w:pPr>
      <w:r w:rsidRPr="007E64B9">
        <w:rPr>
          <w:rFonts w:eastAsia="Times New Roman"/>
          <w:b/>
          <w:bCs/>
          <w:sz w:val="24"/>
          <w:szCs w:val="24"/>
          <w:lang w:val="en-GB"/>
        </w:rPr>
        <w:t>Belgian Design Island</w:t>
      </w:r>
      <w:r w:rsidR="00AF50C9" w:rsidRPr="007E64B9">
        <w:rPr>
          <w:rFonts w:eastAsia="Times New Roman"/>
          <w:b/>
          <w:bCs/>
          <w:sz w:val="24"/>
          <w:szCs w:val="24"/>
          <w:lang w:val="en-GB"/>
        </w:rPr>
        <w:t xml:space="preserve"> </w:t>
      </w:r>
    </w:p>
    <w:p w14:paraId="20CFB3CF" w14:textId="77777777" w:rsidR="00E845EC" w:rsidRPr="007E64B9" w:rsidRDefault="00E845EC" w:rsidP="008830E9">
      <w:pPr>
        <w:spacing w:after="0" w:line="240" w:lineRule="auto"/>
        <w:jc w:val="both"/>
        <w:rPr>
          <w:rFonts w:eastAsia="Times New Roman"/>
          <w:sz w:val="24"/>
          <w:szCs w:val="24"/>
          <w:lang w:val="en-GB"/>
        </w:rPr>
      </w:pPr>
    </w:p>
    <w:p w14:paraId="6A38D18A" w14:textId="1AB32A64" w:rsidR="00525959" w:rsidRPr="007E64B9" w:rsidRDefault="00525959" w:rsidP="008830E9">
      <w:pPr>
        <w:spacing w:after="0" w:line="240" w:lineRule="auto"/>
        <w:jc w:val="both"/>
        <w:rPr>
          <w:rFonts w:eastAsia="Times New Roman"/>
          <w:sz w:val="24"/>
          <w:szCs w:val="24"/>
          <w:lang w:val="en-GB"/>
        </w:rPr>
      </w:pPr>
      <w:r w:rsidRPr="007E64B9">
        <w:rPr>
          <w:rFonts w:eastAsia="Times New Roman"/>
          <w:sz w:val="24"/>
          <w:szCs w:val="24"/>
          <w:lang w:val="en-GB"/>
        </w:rPr>
        <w:t>Let</w:t>
      </w:r>
      <w:r w:rsidR="00BA502E">
        <w:rPr>
          <w:rFonts w:eastAsia="Times New Roman"/>
          <w:sz w:val="24"/>
          <w:szCs w:val="24"/>
          <w:lang w:val="en-GB"/>
        </w:rPr>
        <w:t>’</w:t>
      </w:r>
      <w:r w:rsidR="0072267C" w:rsidRPr="007E64B9">
        <w:rPr>
          <w:rFonts w:eastAsia="Times New Roman"/>
          <w:sz w:val="24"/>
          <w:szCs w:val="24"/>
          <w:lang w:val="en-GB"/>
        </w:rPr>
        <w:t xml:space="preserve">s </w:t>
      </w:r>
      <w:r w:rsidR="006835AA" w:rsidRPr="007E64B9">
        <w:rPr>
          <w:rFonts w:eastAsia="Times New Roman"/>
          <w:sz w:val="24"/>
          <w:szCs w:val="24"/>
          <w:lang w:val="en-GB"/>
        </w:rPr>
        <w:t xml:space="preserve">start </w:t>
      </w:r>
      <w:r w:rsidR="0072267C" w:rsidRPr="007E64B9">
        <w:rPr>
          <w:rFonts w:eastAsia="Times New Roman"/>
          <w:sz w:val="24"/>
          <w:szCs w:val="24"/>
          <w:lang w:val="en-GB"/>
        </w:rPr>
        <w:t xml:space="preserve">with the </w:t>
      </w:r>
      <w:r w:rsidRPr="007E64B9">
        <w:rPr>
          <w:rFonts w:eastAsia="Times New Roman"/>
          <w:sz w:val="24"/>
          <w:szCs w:val="24"/>
          <w:lang w:val="en-GB"/>
        </w:rPr>
        <w:t>Belgian Design Island</w:t>
      </w:r>
      <w:r w:rsidR="00D058FC">
        <w:rPr>
          <w:rFonts w:eastAsia="Times New Roman"/>
          <w:sz w:val="24"/>
          <w:szCs w:val="24"/>
          <w:lang w:val="en-GB"/>
        </w:rPr>
        <w:t xml:space="preserve"> (BDI)</w:t>
      </w:r>
      <w:r w:rsidR="00E845EC" w:rsidRPr="007E64B9">
        <w:rPr>
          <w:rFonts w:eastAsia="Times New Roman"/>
          <w:sz w:val="24"/>
          <w:szCs w:val="24"/>
          <w:lang w:val="en-GB"/>
        </w:rPr>
        <w:t xml:space="preserve">. </w:t>
      </w:r>
      <w:r w:rsidRPr="007E64B9">
        <w:rPr>
          <w:rFonts w:eastAsia="Times New Roman"/>
          <w:sz w:val="24"/>
          <w:szCs w:val="24"/>
          <w:lang w:val="en-GB"/>
        </w:rPr>
        <w:t xml:space="preserve">This </w:t>
      </w:r>
      <w:r w:rsidR="00105B28">
        <w:rPr>
          <w:rFonts w:eastAsia="Times New Roman"/>
          <w:sz w:val="24"/>
          <w:szCs w:val="24"/>
          <w:lang w:val="en-GB"/>
        </w:rPr>
        <w:t xml:space="preserve">takes us back </w:t>
      </w:r>
      <w:r w:rsidRPr="007E64B9">
        <w:rPr>
          <w:rFonts w:eastAsia="Times New Roman"/>
          <w:sz w:val="24"/>
          <w:szCs w:val="24"/>
          <w:lang w:val="en-GB"/>
        </w:rPr>
        <w:t>to our roots</w:t>
      </w:r>
      <w:r w:rsidR="00171CB6" w:rsidRPr="007E64B9">
        <w:rPr>
          <w:rFonts w:eastAsia="Times New Roman"/>
          <w:sz w:val="24"/>
          <w:szCs w:val="24"/>
          <w:lang w:val="en-GB"/>
        </w:rPr>
        <w:t xml:space="preserve"> and </w:t>
      </w:r>
      <w:r w:rsidR="00105B28">
        <w:rPr>
          <w:rFonts w:eastAsia="Times New Roman"/>
          <w:sz w:val="24"/>
          <w:szCs w:val="24"/>
          <w:lang w:val="en-GB"/>
        </w:rPr>
        <w:t xml:space="preserve">the foundation of the former </w:t>
      </w:r>
      <w:r w:rsidR="0072267C" w:rsidRPr="007E64B9">
        <w:rPr>
          <w:rFonts w:eastAsia="Times New Roman"/>
          <w:sz w:val="24"/>
          <w:szCs w:val="24"/>
          <w:lang w:val="en-GB"/>
        </w:rPr>
        <w:t xml:space="preserve">Brussels </w:t>
      </w:r>
      <w:r w:rsidRPr="007E64B9">
        <w:rPr>
          <w:rFonts w:eastAsia="Times New Roman"/>
          <w:sz w:val="24"/>
          <w:szCs w:val="24"/>
          <w:lang w:val="en-GB"/>
        </w:rPr>
        <w:t>national furniture trade fa</w:t>
      </w:r>
      <w:r w:rsidR="00947728" w:rsidRPr="007E64B9">
        <w:rPr>
          <w:rFonts w:eastAsia="Times New Roman"/>
          <w:sz w:val="24"/>
          <w:szCs w:val="24"/>
          <w:lang w:val="en-GB"/>
        </w:rPr>
        <w:t>i</w:t>
      </w:r>
      <w:r w:rsidR="00105B28">
        <w:rPr>
          <w:rFonts w:eastAsia="Times New Roman"/>
          <w:sz w:val="24"/>
          <w:szCs w:val="24"/>
          <w:lang w:val="en-GB"/>
        </w:rPr>
        <w:t>r</w:t>
      </w:r>
      <w:r w:rsidR="00105B28" w:rsidRPr="00105B28">
        <w:rPr>
          <w:rFonts w:eastAsia="Times New Roman"/>
          <w:sz w:val="24"/>
          <w:szCs w:val="24"/>
          <w:lang w:val="en-GB"/>
        </w:rPr>
        <w:t xml:space="preserve"> </w:t>
      </w:r>
      <w:r w:rsidR="00105B28">
        <w:rPr>
          <w:rFonts w:eastAsia="Times New Roman"/>
          <w:sz w:val="24"/>
          <w:szCs w:val="24"/>
          <w:lang w:val="en-GB"/>
        </w:rPr>
        <w:t xml:space="preserve">in </w:t>
      </w:r>
      <w:r w:rsidR="00CB0A46">
        <w:rPr>
          <w:rFonts w:eastAsia="Times New Roman"/>
          <w:sz w:val="24"/>
          <w:szCs w:val="24"/>
          <w:lang w:val="en-GB"/>
        </w:rPr>
        <w:t>1937</w:t>
      </w:r>
      <w:r w:rsidR="00FB210F" w:rsidRPr="007E64B9">
        <w:rPr>
          <w:rFonts w:eastAsia="Times New Roman"/>
          <w:sz w:val="24"/>
          <w:szCs w:val="24"/>
          <w:lang w:val="en-GB"/>
        </w:rPr>
        <w:t xml:space="preserve">. </w:t>
      </w:r>
      <w:r w:rsidR="0072267C" w:rsidRPr="007E64B9">
        <w:rPr>
          <w:rFonts w:eastAsia="Times New Roman"/>
          <w:sz w:val="24"/>
          <w:szCs w:val="24"/>
          <w:lang w:val="en-GB"/>
        </w:rPr>
        <w:t>It</w:t>
      </w:r>
      <w:r w:rsidR="00105B28">
        <w:rPr>
          <w:rFonts w:eastAsia="Times New Roman"/>
          <w:sz w:val="24"/>
          <w:szCs w:val="24"/>
          <w:lang w:val="en-GB"/>
        </w:rPr>
        <w:t xml:space="preserve"> was established </w:t>
      </w:r>
      <w:r w:rsidR="002C518D">
        <w:rPr>
          <w:rFonts w:eastAsia="Times New Roman"/>
          <w:sz w:val="24"/>
          <w:szCs w:val="24"/>
          <w:lang w:val="en-GB"/>
        </w:rPr>
        <w:t xml:space="preserve">to support </w:t>
      </w:r>
      <w:r w:rsidR="00105B28">
        <w:rPr>
          <w:rFonts w:eastAsia="Times New Roman"/>
          <w:sz w:val="24"/>
          <w:szCs w:val="24"/>
          <w:lang w:val="en-GB"/>
        </w:rPr>
        <w:t xml:space="preserve">the </w:t>
      </w:r>
      <w:r w:rsidRPr="007E64B9">
        <w:rPr>
          <w:rFonts w:eastAsia="Times New Roman"/>
          <w:sz w:val="24"/>
          <w:szCs w:val="24"/>
          <w:lang w:val="en-GB"/>
        </w:rPr>
        <w:t>Belgian furniture sector.</w:t>
      </w:r>
    </w:p>
    <w:p w14:paraId="3E296967" w14:textId="77777777" w:rsidR="009B3845" w:rsidRPr="007E64B9" w:rsidRDefault="009B3845" w:rsidP="008830E9">
      <w:pPr>
        <w:spacing w:after="0" w:line="240" w:lineRule="auto"/>
        <w:jc w:val="both"/>
        <w:rPr>
          <w:rFonts w:eastAsia="Times New Roman"/>
          <w:sz w:val="24"/>
          <w:szCs w:val="24"/>
          <w:lang w:val="en-GB"/>
        </w:rPr>
      </w:pPr>
    </w:p>
    <w:p w14:paraId="3EBF5CA1" w14:textId="39ED2228" w:rsidR="009B3845" w:rsidRPr="007E64B9" w:rsidRDefault="00105B28" w:rsidP="008830E9">
      <w:pPr>
        <w:spacing w:after="0" w:line="240" w:lineRule="auto"/>
        <w:jc w:val="both"/>
        <w:rPr>
          <w:rFonts w:eastAsia="Times New Roman"/>
          <w:sz w:val="24"/>
          <w:szCs w:val="24"/>
          <w:lang w:val="en-GB"/>
        </w:rPr>
      </w:pPr>
      <w:r>
        <w:rPr>
          <w:rFonts w:eastAsia="Times New Roman"/>
          <w:sz w:val="24"/>
          <w:szCs w:val="24"/>
          <w:lang w:val="en-GB"/>
        </w:rPr>
        <w:t xml:space="preserve">The </w:t>
      </w:r>
      <w:r w:rsidR="00525959" w:rsidRPr="007E64B9">
        <w:rPr>
          <w:rFonts w:eastAsia="Times New Roman"/>
          <w:sz w:val="24"/>
          <w:szCs w:val="24"/>
          <w:lang w:val="en-GB"/>
        </w:rPr>
        <w:t>Belgian Design Island</w:t>
      </w:r>
      <w:r>
        <w:rPr>
          <w:rFonts w:eastAsia="Times New Roman"/>
          <w:sz w:val="24"/>
          <w:szCs w:val="24"/>
          <w:lang w:val="en-GB"/>
        </w:rPr>
        <w:t xml:space="preserve"> </w:t>
      </w:r>
      <w:r w:rsidR="00F458C1">
        <w:rPr>
          <w:rFonts w:eastAsia="Times New Roman"/>
          <w:sz w:val="24"/>
          <w:szCs w:val="24"/>
          <w:lang w:val="en-GB"/>
        </w:rPr>
        <w:t xml:space="preserve">is shining a </w:t>
      </w:r>
      <w:r w:rsidR="00525959" w:rsidRPr="007E64B9">
        <w:rPr>
          <w:rFonts w:eastAsia="Times New Roman"/>
          <w:sz w:val="24"/>
          <w:szCs w:val="24"/>
          <w:lang w:val="en-GB"/>
        </w:rPr>
        <w:t>spotlight on Belgian designers and Belgian design</w:t>
      </w:r>
      <w:r w:rsidR="00F458C1">
        <w:rPr>
          <w:rFonts w:eastAsia="Times New Roman"/>
          <w:sz w:val="24"/>
          <w:szCs w:val="24"/>
          <w:lang w:val="en-GB"/>
        </w:rPr>
        <w:t xml:space="preserve">, which are a global byword for </w:t>
      </w:r>
      <w:r w:rsidR="00525959" w:rsidRPr="007E64B9">
        <w:rPr>
          <w:rFonts w:eastAsia="Times New Roman"/>
          <w:sz w:val="24"/>
          <w:szCs w:val="24"/>
          <w:lang w:val="en-GB"/>
        </w:rPr>
        <w:t>craftsmanship</w:t>
      </w:r>
      <w:r w:rsidR="009B3845" w:rsidRPr="007E64B9">
        <w:rPr>
          <w:rFonts w:eastAsia="Times New Roman"/>
          <w:sz w:val="24"/>
          <w:szCs w:val="24"/>
          <w:lang w:val="en-GB"/>
        </w:rPr>
        <w:t xml:space="preserve">. </w:t>
      </w:r>
      <w:r>
        <w:rPr>
          <w:rFonts w:eastAsia="Times New Roman"/>
          <w:sz w:val="24"/>
          <w:szCs w:val="24"/>
          <w:lang w:val="en-GB"/>
        </w:rPr>
        <w:t xml:space="preserve">Visitors </w:t>
      </w:r>
      <w:r w:rsidR="0047756F" w:rsidRPr="007E64B9">
        <w:rPr>
          <w:rFonts w:eastAsia="Times New Roman"/>
          <w:sz w:val="24"/>
          <w:szCs w:val="24"/>
          <w:lang w:val="en-GB"/>
        </w:rPr>
        <w:t xml:space="preserve">will discover </w:t>
      </w:r>
      <w:r w:rsidR="00C82E8E" w:rsidRPr="007E64B9">
        <w:rPr>
          <w:rFonts w:eastAsia="Times New Roman"/>
          <w:sz w:val="24"/>
          <w:szCs w:val="24"/>
          <w:lang w:val="en-GB"/>
        </w:rPr>
        <w:t xml:space="preserve">a separate hub for design and </w:t>
      </w:r>
      <w:r w:rsidR="00AF50C9" w:rsidRPr="007E64B9">
        <w:rPr>
          <w:rFonts w:eastAsia="Times New Roman"/>
          <w:sz w:val="24"/>
          <w:szCs w:val="24"/>
          <w:lang w:val="en-GB"/>
        </w:rPr>
        <w:t xml:space="preserve">decorative </w:t>
      </w:r>
      <w:r w:rsidR="00C82E8E" w:rsidRPr="007E64B9">
        <w:rPr>
          <w:rFonts w:eastAsia="Times New Roman"/>
          <w:sz w:val="24"/>
          <w:szCs w:val="24"/>
          <w:lang w:val="en-GB"/>
        </w:rPr>
        <w:t xml:space="preserve">objects, from furniture </w:t>
      </w:r>
      <w:r w:rsidR="00D058FC">
        <w:rPr>
          <w:rFonts w:eastAsia="Times New Roman"/>
          <w:sz w:val="24"/>
          <w:szCs w:val="24"/>
          <w:lang w:val="en-GB"/>
        </w:rPr>
        <w:t xml:space="preserve">to </w:t>
      </w:r>
      <w:r w:rsidR="00C82E8E" w:rsidRPr="007E64B9">
        <w:rPr>
          <w:rFonts w:eastAsia="Times New Roman"/>
          <w:sz w:val="24"/>
          <w:szCs w:val="24"/>
          <w:lang w:val="en-GB"/>
        </w:rPr>
        <w:t>lighting</w:t>
      </w:r>
      <w:r w:rsidR="00D058FC">
        <w:rPr>
          <w:rFonts w:eastAsia="Times New Roman"/>
          <w:sz w:val="24"/>
          <w:szCs w:val="24"/>
          <w:lang w:val="en-GB"/>
        </w:rPr>
        <w:t xml:space="preserve">, </w:t>
      </w:r>
      <w:r w:rsidR="00C82E8E" w:rsidRPr="007E64B9">
        <w:rPr>
          <w:rFonts w:eastAsia="Times New Roman"/>
          <w:sz w:val="24"/>
          <w:szCs w:val="24"/>
          <w:lang w:val="en-GB"/>
        </w:rPr>
        <w:t>textiles to carpets</w:t>
      </w:r>
      <w:r w:rsidR="009B3845" w:rsidRPr="007E64B9">
        <w:rPr>
          <w:rFonts w:eastAsia="Times New Roman"/>
          <w:sz w:val="24"/>
          <w:szCs w:val="24"/>
          <w:lang w:val="en-GB"/>
        </w:rPr>
        <w:t>.</w:t>
      </w:r>
    </w:p>
    <w:p w14:paraId="69245CDC" w14:textId="77777777" w:rsidR="009F6194" w:rsidRPr="007E64B9" w:rsidRDefault="009F6194" w:rsidP="008830E9">
      <w:pPr>
        <w:spacing w:after="0" w:line="240" w:lineRule="auto"/>
        <w:jc w:val="both"/>
        <w:rPr>
          <w:rFonts w:eastAsia="Times New Roman"/>
          <w:sz w:val="24"/>
          <w:szCs w:val="24"/>
          <w:lang w:val="en-GB"/>
        </w:rPr>
      </w:pPr>
    </w:p>
    <w:p w14:paraId="5BB7F420" w14:textId="39BA7F31" w:rsidR="009B3845" w:rsidRPr="007E64B9" w:rsidRDefault="00947728" w:rsidP="008830E9">
      <w:pPr>
        <w:spacing w:after="0" w:line="240" w:lineRule="auto"/>
        <w:jc w:val="both"/>
        <w:rPr>
          <w:rFonts w:eastAsia="Times New Roman"/>
          <w:sz w:val="24"/>
          <w:szCs w:val="24"/>
          <w:lang w:val="en-GB"/>
        </w:rPr>
      </w:pPr>
      <w:r w:rsidRPr="007E64B9">
        <w:rPr>
          <w:rFonts w:eastAsia="Times New Roman"/>
          <w:sz w:val="24"/>
          <w:szCs w:val="24"/>
          <w:lang w:val="en-GB"/>
        </w:rPr>
        <w:t xml:space="preserve">An idea </w:t>
      </w:r>
      <w:r w:rsidR="00105B28">
        <w:rPr>
          <w:rFonts w:eastAsia="Times New Roman"/>
          <w:sz w:val="24"/>
          <w:szCs w:val="24"/>
          <w:lang w:val="en-GB"/>
        </w:rPr>
        <w:t xml:space="preserve">that </w:t>
      </w:r>
      <w:r w:rsidR="00C05A92">
        <w:rPr>
          <w:rFonts w:eastAsia="Times New Roman"/>
          <w:sz w:val="24"/>
          <w:szCs w:val="24"/>
          <w:lang w:val="en-GB"/>
        </w:rPr>
        <w:t xml:space="preserve">demands </w:t>
      </w:r>
      <w:r w:rsidR="00F458C1">
        <w:rPr>
          <w:rFonts w:eastAsia="Times New Roman"/>
          <w:sz w:val="24"/>
          <w:szCs w:val="24"/>
          <w:lang w:val="en-GB"/>
        </w:rPr>
        <w:t xml:space="preserve">a worthy </w:t>
      </w:r>
      <w:r w:rsidR="0047756F" w:rsidRPr="007E64B9">
        <w:rPr>
          <w:rFonts w:eastAsia="Times New Roman"/>
          <w:sz w:val="24"/>
          <w:szCs w:val="24"/>
          <w:lang w:val="en-GB"/>
        </w:rPr>
        <w:t>setting.</w:t>
      </w:r>
      <w:r w:rsidRPr="007E64B9">
        <w:rPr>
          <w:rFonts w:eastAsia="Times New Roman"/>
          <w:sz w:val="24"/>
          <w:szCs w:val="24"/>
          <w:lang w:val="en-GB"/>
        </w:rPr>
        <w:t xml:space="preserve"> </w:t>
      </w:r>
      <w:r w:rsidR="00D058FC">
        <w:rPr>
          <w:rFonts w:eastAsia="Times New Roman"/>
          <w:sz w:val="24"/>
          <w:szCs w:val="24"/>
          <w:lang w:val="en-GB"/>
        </w:rPr>
        <w:t>Which is why we</w:t>
      </w:r>
      <w:r w:rsidR="00BA502E">
        <w:rPr>
          <w:rFonts w:eastAsia="Times New Roman"/>
          <w:sz w:val="24"/>
          <w:szCs w:val="24"/>
          <w:lang w:val="en-GB"/>
        </w:rPr>
        <w:t>’</w:t>
      </w:r>
      <w:r w:rsidR="00D058FC">
        <w:rPr>
          <w:rFonts w:eastAsia="Times New Roman"/>
          <w:sz w:val="24"/>
          <w:szCs w:val="24"/>
          <w:lang w:val="en-GB"/>
        </w:rPr>
        <w:t xml:space="preserve">re </w:t>
      </w:r>
      <w:r w:rsidR="00105B28">
        <w:rPr>
          <w:rFonts w:eastAsia="Times New Roman"/>
          <w:sz w:val="24"/>
          <w:szCs w:val="24"/>
          <w:lang w:val="en-GB"/>
        </w:rPr>
        <w:t xml:space="preserve">pulling out </w:t>
      </w:r>
      <w:r w:rsidR="00F458C1">
        <w:rPr>
          <w:rFonts w:eastAsia="Times New Roman"/>
          <w:sz w:val="24"/>
          <w:szCs w:val="24"/>
          <w:lang w:val="en-GB"/>
        </w:rPr>
        <w:t xml:space="preserve">all </w:t>
      </w:r>
      <w:r w:rsidR="00105B28">
        <w:rPr>
          <w:rFonts w:eastAsia="Times New Roman"/>
          <w:sz w:val="24"/>
          <w:szCs w:val="24"/>
          <w:lang w:val="en-GB"/>
        </w:rPr>
        <w:t xml:space="preserve">the stops to </w:t>
      </w:r>
      <w:r w:rsidR="0047756F" w:rsidRPr="007E64B9">
        <w:rPr>
          <w:rFonts w:eastAsia="Times New Roman"/>
          <w:sz w:val="24"/>
          <w:szCs w:val="24"/>
          <w:lang w:val="en-GB"/>
        </w:rPr>
        <w:t xml:space="preserve">create an </w:t>
      </w:r>
      <w:r w:rsidR="00D058FC">
        <w:rPr>
          <w:rFonts w:eastAsia="Times New Roman"/>
          <w:sz w:val="24"/>
          <w:szCs w:val="24"/>
          <w:lang w:val="en-GB"/>
        </w:rPr>
        <w:t xml:space="preserve">overall </w:t>
      </w:r>
      <w:r w:rsidR="00C82E8E" w:rsidRPr="007E64B9">
        <w:rPr>
          <w:rFonts w:eastAsia="Times New Roman"/>
          <w:sz w:val="24"/>
          <w:szCs w:val="24"/>
          <w:lang w:val="en-GB"/>
        </w:rPr>
        <w:t>experience</w:t>
      </w:r>
      <w:r w:rsidR="0047756F" w:rsidRPr="007E64B9">
        <w:rPr>
          <w:rFonts w:eastAsia="Times New Roman"/>
          <w:sz w:val="24"/>
          <w:szCs w:val="24"/>
          <w:lang w:val="en-GB"/>
        </w:rPr>
        <w:t xml:space="preserve"> that </w:t>
      </w:r>
      <w:r w:rsidR="00D058FC">
        <w:rPr>
          <w:rFonts w:eastAsia="Times New Roman"/>
          <w:sz w:val="24"/>
          <w:szCs w:val="24"/>
          <w:lang w:val="en-GB"/>
        </w:rPr>
        <w:t xml:space="preserve">also </w:t>
      </w:r>
      <w:r w:rsidR="0047756F" w:rsidRPr="007E64B9">
        <w:rPr>
          <w:rFonts w:eastAsia="Times New Roman"/>
          <w:sz w:val="24"/>
          <w:szCs w:val="24"/>
          <w:lang w:val="en-GB"/>
        </w:rPr>
        <w:t>integrates</w:t>
      </w:r>
      <w:r w:rsidR="00C82E8E" w:rsidRPr="007E64B9">
        <w:rPr>
          <w:rFonts w:eastAsia="Times New Roman"/>
          <w:sz w:val="24"/>
          <w:szCs w:val="24"/>
          <w:lang w:val="en-GB"/>
        </w:rPr>
        <w:t xml:space="preserve"> </w:t>
      </w:r>
      <w:r w:rsidR="002456BD">
        <w:rPr>
          <w:rFonts w:eastAsia="Times New Roman"/>
          <w:sz w:val="24"/>
          <w:szCs w:val="24"/>
          <w:lang w:val="en-GB"/>
        </w:rPr>
        <w:t xml:space="preserve">aspects </w:t>
      </w:r>
      <w:r w:rsidR="00C82E8E" w:rsidRPr="007E64B9">
        <w:rPr>
          <w:rFonts w:eastAsia="Times New Roman"/>
          <w:sz w:val="24"/>
          <w:szCs w:val="24"/>
          <w:lang w:val="en-GB"/>
        </w:rPr>
        <w:t xml:space="preserve">of the </w:t>
      </w:r>
      <w:r w:rsidR="00BA502E">
        <w:rPr>
          <w:rFonts w:eastAsia="Times New Roman"/>
          <w:sz w:val="24"/>
          <w:szCs w:val="24"/>
          <w:lang w:val="en-GB"/>
        </w:rPr>
        <w:t>‘</w:t>
      </w:r>
      <w:r w:rsidR="00C82E8E" w:rsidRPr="007E64B9">
        <w:rPr>
          <w:rFonts w:eastAsia="Times New Roman"/>
          <w:sz w:val="24"/>
          <w:szCs w:val="24"/>
          <w:lang w:val="en-GB"/>
        </w:rPr>
        <w:t>shop of tomorrow</w:t>
      </w:r>
      <w:r w:rsidR="00BA502E">
        <w:rPr>
          <w:rFonts w:eastAsia="Times New Roman"/>
          <w:sz w:val="24"/>
          <w:szCs w:val="24"/>
          <w:lang w:val="en-GB"/>
        </w:rPr>
        <w:t>’</w:t>
      </w:r>
      <w:r w:rsidR="009F6194" w:rsidRPr="007E64B9">
        <w:rPr>
          <w:rFonts w:eastAsia="Times New Roman"/>
          <w:sz w:val="24"/>
          <w:szCs w:val="24"/>
          <w:lang w:val="en-GB"/>
        </w:rPr>
        <w:t xml:space="preserve"> </w:t>
      </w:r>
      <w:r w:rsidRPr="007E64B9">
        <w:rPr>
          <w:rFonts w:eastAsia="Times New Roman"/>
          <w:sz w:val="24"/>
          <w:szCs w:val="24"/>
          <w:lang w:val="en-GB"/>
        </w:rPr>
        <w:t>concept</w:t>
      </w:r>
      <w:r w:rsidR="00D4158A" w:rsidRPr="007E64B9">
        <w:rPr>
          <w:rFonts w:eastAsia="Times New Roman"/>
          <w:sz w:val="24"/>
          <w:szCs w:val="24"/>
          <w:lang w:val="en-GB"/>
        </w:rPr>
        <w:t xml:space="preserve">. </w:t>
      </w:r>
      <w:r w:rsidR="00C82E8E" w:rsidRPr="007E64B9">
        <w:rPr>
          <w:rFonts w:eastAsia="Times New Roman"/>
          <w:sz w:val="24"/>
          <w:szCs w:val="24"/>
          <w:lang w:val="en-GB"/>
        </w:rPr>
        <w:t>If you want to experience the Brussels Furniture Fair 2024, this location is a must</w:t>
      </w:r>
      <w:r w:rsidR="00D4158A" w:rsidRPr="007E64B9">
        <w:rPr>
          <w:rFonts w:eastAsia="Times New Roman"/>
          <w:sz w:val="24"/>
          <w:szCs w:val="24"/>
          <w:lang w:val="en-GB"/>
        </w:rPr>
        <w:t>.</w:t>
      </w:r>
    </w:p>
    <w:p w14:paraId="74E9070C" w14:textId="49D33C0F" w:rsidR="00BF12BC" w:rsidRPr="007E64B9" w:rsidRDefault="00D058FC" w:rsidP="008830E9">
      <w:pPr>
        <w:spacing w:after="0" w:line="240" w:lineRule="auto"/>
        <w:jc w:val="both"/>
        <w:rPr>
          <w:rFonts w:eastAsia="Times New Roman"/>
          <w:sz w:val="24"/>
          <w:szCs w:val="24"/>
          <w:lang w:val="en-GB"/>
        </w:rPr>
      </w:pPr>
      <w:r>
        <w:rPr>
          <w:rFonts w:eastAsia="Times New Roman"/>
          <w:sz w:val="24"/>
          <w:szCs w:val="24"/>
          <w:lang w:val="en-GB"/>
        </w:rPr>
        <w:lastRenderedPageBreak/>
        <w:t xml:space="preserve">The </w:t>
      </w:r>
      <w:r w:rsidR="009F6194" w:rsidRPr="007E64B9">
        <w:rPr>
          <w:rFonts w:eastAsia="Times New Roman"/>
          <w:sz w:val="24"/>
          <w:szCs w:val="24"/>
          <w:lang w:val="en-GB"/>
        </w:rPr>
        <w:t xml:space="preserve">Belgian Design Island </w:t>
      </w:r>
      <w:r>
        <w:rPr>
          <w:rFonts w:eastAsia="Times New Roman"/>
          <w:sz w:val="24"/>
          <w:szCs w:val="24"/>
          <w:lang w:val="en-GB"/>
        </w:rPr>
        <w:t xml:space="preserve">also ties in with </w:t>
      </w:r>
      <w:r w:rsidR="009F6194" w:rsidRPr="007E64B9">
        <w:rPr>
          <w:rFonts w:eastAsia="Times New Roman"/>
          <w:sz w:val="24"/>
          <w:szCs w:val="24"/>
          <w:lang w:val="en-GB"/>
        </w:rPr>
        <w:t xml:space="preserve">our </w:t>
      </w:r>
      <w:r w:rsidR="00C82E8E" w:rsidRPr="007E64B9">
        <w:rPr>
          <w:rFonts w:eastAsia="Times New Roman"/>
          <w:sz w:val="24"/>
          <w:szCs w:val="24"/>
          <w:lang w:val="en-GB"/>
        </w:rPr>
        <w:t xml:space="preserve">philosophy of attracting and supporting a wider audience within the private and </w:t>
      </w:r>
      <w:r w:rsidR="00365AAB" w:rsidRPr="007E64B9">
        <w:rPr>
          <w:rFonts w:eastAsia="Times New Roman"/>
          <w:sz w:val="24"/>
          <w:szCs w:val="24"/>
          <w:lang w:val="en-GB"/>
        </w:rPr>
        <w:t xml:space="preserve">contract </w:t>
      </w:r>
      <w:r w:rsidR="00C82E8E" w:rsidRPr="007E64B9">
        <w:rPr>
          <w:rFonts w:eastAsia="Times New Roman"/>
          <w:sz w:val="24"/>
          <w:szCs w:val="24"/>
          <w:lang w:val="en-GB"/>
        </w:rPr>
        <w:t>market</w:t>
      </w:r>
      <w:r w:rsidR="009B3845" w:rsidRPr="007E64B9">
        <w:rPr>
          <w:rFonts w:eastAsia="Times New Roman"/>
          <w:sz w:val="24"/>
          <w:szCs w:val="24"/>
          <w:lang w:val="en-GB"/>
        </w:rPr>
        <w:t>.</w:t>
      </w:r>
    </w:p>
    <w:p w14:paraId="2FDDA1C8" w14:textId="77777777" w:rsidR="00BF12BC" w:rsidRPr="007E64B9" w:rsidRDefault="00BF12BC" w:rsidP="008830E9">
      <w:pPr>
        <w:spacing w:after="0" w:line="240" w:lineRule="auto"/>
        <w:jc w:val="both"/>
        <w:rPr>
          <w:rFonts w:eastAsia="Times New Roman"/>
          <w:sz w:val="24"/>
          <w:szCs w:val="24"/>
          <w:lang w:val="en-GB"/>
        </w:rPr>
      </w:pPr>
    </w:p>
    <w:p w14:paraId="724F1DF3" w14:textId="6FFFC1A5" w:rsidR="00BF12BC" w:rsidRPr="007E64B9" w:rsidRDefault="009403F1" w:rsidP="008830E9">
      <w:pPr>
        <w:spacing w:after="0" w:line="240" w:lineRule="auto"/>
        <w:jc w:val="both"/>
        <w:rPr>
          <w:rFonts w:eastAsia="Times New Roman"/>
          <w:b/>
          <w:bCs/>
          <w:sz w:val="24"/>
          <w:szCs w:val="24"/>
          <w:lang w:val="en-GB"/>
        </w:rPr>
      </w:pPr>
      <w:r w:rsidRPr="007E64B9">
        <w:rPr>
          <w:rFonts w:eastAsia="Times New Roman"/>
          <w:b/>
          <w:bCs/>
          <w:sz w:val="24"/>
          <w:szCs w:val="24"/>
          <w:lang w:val="en-GB"/>
        </w:rPr>
        <w:t>Belgian Outdoor</w:t>
      </w:r>
    </w:p>
    <w:p w14:paraId="1BC039BE" w14:textId="77777777" w:rsidR="00BF12BC" w:rsidRPr="007E64B9" w:rsidRDefault="00BF12BC" w:rsidP="008830E9">
      <w:pPr>
        <w:spacing w:after="0" w:line="240" w:lineRule="auto"/>
        <w:jc w:val="both"/>
        <w:rPr>
          <w:rFonts w:eastAsia="Times New Roman"/>
          <w:sz w:val="24"/>
          <w:szCs w:val="24"/>
          <w:lang w:val="en-GB"/>
        </w:rPr>
      </w:pPr>
    </w:p>
    <w:p w14:paraId="57D83C68" w14:textId="60786186" w:rsidR="00C82E8E" w:rsidRPr="007E64B9" w:rsidRDefault="00F75BC9" w:rsidP="008830E9">
      <w:pPr>
        <w:spacing w:after="0" w:line="240" w:lineRule="auto"/>
        <w:jc w:val="both"/>
        <w:rPr>
          <w:rFonts w:eastAsia="Times New Roman"/>
          <w:sz w:val="24"/>
          <w:szCs w:val="24"/>
          <w:lang w:val="en-GB"/>
        </w:rPr>
      </w:pPr>
      <w:r>
        <w:rPr>
          <w:rFonts w:eastAsia="Times New Roman"/>
          <w:sz w:val="24"/>
          <w:szCs w:val="24"/>
          <w:lang w:val="en-GB"/>
        </w:rPr>
        <w:t xml:space="preserve">Also new is the </w:t>
      </w:r>
      <w:r w:rsidR="00C82E8E" w:rsidRPr="007E64B9">
        <w:rPr>
          <w:rFonts w:eastAsia="Times New Roman"/>
          <w:sz w:val="24"/>
          <w:szCs w:val="24"/>
          <w:lang w:val="en-GB"/>
        </w:rPr>
        <w:t>Belgian Outdoor</w:t>
      </w:r>
      <w:r w:rsidR="0047756F" w:rsidRPr="007E64B9">
        <w:rPr>
          <w:rFonts w:eastAsia="Times New Roman"/>
          <w:sz w:val="24"/>
          <w:szCs w:val="24"/>
          <w:lang w:val="en-GB"/>
        </w:rPr>
        <w:t xml:space="preserve"> platform</w:t>
      </w:r>
      <w:r w:rsidR="009403F1" w:rsidRPr="007E64B9">
        <w:rPr>
          <w:rFonts w:eastAsia="Times New Roman"/>
          <w:sz w:val="24"/>
          <w:szCs w:val="24"/>
          <w:lang w:val="en-GB"/>
        </w:rPr>
        <w:t xml:space="preserve">. </w:t>
      </w:r>
      <w:r w:rsidR="00C82E8E" w:rsidRPr="007E64B9">
        <w:rPr>
          <w:rFonts w:eastAsia="Times New Roman"/>
          <w:sz w:val="24"/>
          <w:szCs w:val="24"/>
          <w:lang w:val="en-GB"/>
        </w:rPr>
        <w:t>It</w:t>
      </w:r>
      <w:r w:rsidR="00BA502E">
        <w:rPr>
          <w:rFonts w:eastAsia="Times New Roman"/>
          <w:sz w:val="24"/>
          <w:szCs w:val="24"/>
          <w:lang w:val="en-GB"/>
        </w:rPr>
        <w:t>’</w:t>
      </w:r>
      <w:r w:rsidR="009F6194" w:rsidRPr="007E64B9">
        <w:rPr>
          <w:rFonts w:eastAsia="Times New Roman"/>
          <w:sz w:val="24"/>
          <w:szCs w:val="24"/>
          <w:lang w:val="en-GB"/>
        </w:rPr>
        <w:t xml:space="preserve">s no </w:t>
      </w:r>
      <w:r w:rsidR="00C82E8E" w:rsidRPr="007E64B9">
        <w:rPr>
          <w:rFonts w:eastAsia="Times New Roman"/>
          <w:sz w:val="24"/>
          <w:szCs w:val="24"/>
          <w:lang w:val="en-GB"/>
        </w:rPr>
        <w:t>secret that</w:t>
      </w:r>
      <w:r w:rsidR="00AF50C9" w:rsidRPr="007E64B9">
        <w:rPr>
          <w:rFonts w:eastAsia="Times New Roman"/>
          <w:sz w:val="24"/>
          <w:szCs w:val="24"/>
          <w:lang w:val="en-GB"/>
        </w:rPr>
        <w:t xml:space="preserve"> we</w:t>
      </w:r>
      <w:r w:rsidR="00BA502E">
        <w:rPr>
          <w:rFonts w:eastAsia="Times New Roman"/>
          <w:sz w:val="24"/>
          <w:szCs w:val="24"/>
          <w:lang w:val="en-GB"/>
        </w:rPr>
        <w:t>’</w:t>
      </w:r>
      <w:r w:rsidR="00AF50C9" w:rsidRPr="007E64B9">
        <w:rPr>
          <w:rFonts w:eastAsia="Times New Roman"/>
          <w:sz w:val="24"/>
          <w:szCs w:val="24"/>
          <w:lang w:val="en-GB"/>
        </w:rPr>
        <w:t xml:space="preserve">ve </w:t>
      </w:r>
      <w:r w:rsidR="00105B28">
        <w:rPr>
          <w:rFonts w:eastAsia="Times New Roman"/>
          <w:sz w:val="24"/>
          <w:szCs w:val="24"/>
          <w:lang w:val="en-GB"/>
        </w:rPr>
        <w:t xml:space="preserve">long </w:t>
      </w:r>
      <w:r w:rsidR="0047756F" w:rsidRPr="007E64B9">
        <w:rPr>
          <w:rFonts w:eastAsia="Times New Roman"/>
          <w:sz w:val="24"/>
          <w:szCs w:val="24"/>
          <w:lang w:val="en-GB"/>
        </w:rPr>
        <w:t xml:space="preserve">wanted to </w:t>
      </w:r>
      <w:r w:rsidR="00AF50C9" w:rsidRPr="007E64B9">
        <w:rPr>
          <w:rFonts w:eastAsia="Times New Roman"/>
          <w:sz w:val="24"/>
          <w:szCs w:val="24"/>
          <w:lang w:val="en-GB"/>
        </w:rPr>
        <w:t>integrate outdoor furniture into our offering</w:t>
      </w:r>
      <w:r w:rsidR="00C82E8E" w:rsidRPr="007E64B9">
        <w:rPr>
          <w:rFonts w:eastAsia="Times New Roman"/>
          <w:sz w:val="24"/>
          <w:szCs w:val="24"/>
          <w:lang w:val="en-GB"/>
        </w:rPr>
        <w:t xml:space="preserve">. </w:t>
      </w:r>
      <w:r w:rsidR="009F6194" w:rsidRPr="007E64B9">
        <w:rPr>
          <w:rFonts w:eastAsia="Times New Roman"/>
          <w:sz w:val="24"/>
          <w:szCs w:val="24"/>
          <w:lang w:val="en-GB"/>
        </w:rPr>
        <w:t>To this end, we</w:t>
      </w:r>
      <w:r w:rsidR="00BA502E">
        <w:rPr>
          <w:rFonts w:eastAsia="Times New Roman"/>
          <w:sz w:val="24"/>
          <w:szCs w:val="24"/>
          <w:lang w:val="en-GB"/>
        </w:rPr>
        <w:t>’</w:t>
      </w:r>
      <w:r w:rsidR="0047756F" w:rsidRPr="007E64B9">
        <w:rPr>
          <w:rFonts w:eastAsia="Times New Roman"/>
          <w:sz w:val="24"/>
          <w:szCs w:val="24"/>
          <w:lang w:val="en-GB"/>
        </w:rPr>
        <w:t xml:space="preserve">ve </w:t>
      </w:r>
      <w:r w:rsidR="00C82E8E" w:rsidRPr="007E64B9">
        <w:rPr>
          <w:rFonts w:eastAsia="Times New Roman"/>
          <w:sz w:val="24"/>
          <w:szCs w:val="24"/>
          <w:lang w:val="en-GB"/>
        </w:rPr>
        <w:t xml:space="preserve">made a targeted investment similar to </w:t>
      </w:r>
      <w:r w:rsidR="002456BD">
        <w:rPr>
          <w:rFonts w:eastAsia="Times New Roman"/>
          <w:sz w:val="24"/>
          <w:szCs w:val="24"/>
          <w:lang w:val="en-GB"/>
        </w:rPr>
        <w:t xml:space="preserve">the </w:t>
      </w:r>
      <w:r w:rsidR="00F458C1">
        <w:rPr>
          <w:rFonts w:eastAsia="Times New Roman"/>
          <w:sz w:val="24"/>
          <w:szCs w:val="24"/>
          <w:lang w:val="en-GB"/>
        </w:rPr>
        <w:t xml:space="preserve">advances </w:t>
      </w:r>
      <w:r w:rsidR="002456BD">
        <w:rPr>
          <w:rFonts w:eastAsia="Times New Roman"/>
          <w:sz w:val="24"/>
          <w:szCs w:val="24"/>
          <w:lang w:val="en-GB"/>
        </w:rPr>
        <w:t xml:space="preserve">made in the </w:t>
      </w:r>
      <w:r w:rsidR="00C82E8E" w:rsidRPr="007E64B9">
        <w:rPr>
          <w:rFonts w:eastAsia="Times New Roman"/>
          <w:sz w:val="24"/>
          <w:szCs w:val="24"/>
          <w:lang w:val="en-GB"/>
        </w:rPr>
        <w:t>Brussels by Night hall in 2022</w:t>
      </w:r>
      <w:r w:rsidR="002F5E50" w:rsidRPr="007E64B9">
        <w:rPr>
          <w:rFonts w:eastAsia="Times New Roman"/>
          <w:sz w:val="24"/>
          <w:szCs w:val="24"/>
          <w:lang w:val="en-GB"/>
        </w:rPr>
        <w:t xml:space="preserve">. </w:t>
      </w:r>
      <w:r w:rsidR="00C82E8E" w:rsidRPr="007E64B9">
        <w:rPr>
          <w:rFonts w:eastAsia="Times New Roman"/>
          <w:sz w:val="24"/>
          <w:szCs w:val="24"/>
          <w:lang w:val="en-GB"/>
        </w:rPr>
        <w:t xml:space="preserve">We </w:t>
      </w:r>
      <w:r w:rsidR="009F6194" w:rsidRPr="007E64B9">
        <w:rPr>
          <w:rFonts w:eastAsia="Times New Roman"/>
          <w:sz w:val="24"/>
          <w:szCs w:val="24"/>
          <w:lang w:val="en-GB"/>
        </w:rPr>
        <w:t xml:space="preserve">are </w:t>
      </w:r>
      <w:r>
        <w:rPr>
          <w:rFonts w:eastAsia="Times New Roman"/>
          <w:sz w:val="24"/>
          <w:szCs w:val="24"/>
          <w:lang w:val="en-GB"/>
        </w:rPr>
        <w:t xml:space="preserve">introducing </w:t>
      </w:r>
      <w:r w:rsidR="00C82E8E" w:rsidRPr="007E64B9">
        <w:rPr>
          <w:rFonts w:eastAsia="Times New Roman"/>
          <w:sz w:val="24"/>
          <w:szCs w:val="24"/>
          <w:lang w:val="en-GB"/>
        </w:rPr>
        <w:t xml:space="preserve">an outdoor stand </w:t>
      </w:r>
      <w:r w:rsidR="00947728" w:rsidRPr="007E64B9">
        <w:rPr>
          <w:rFonts w:eastAsia="Times New Roman"/>
          <w:sz w:val="24"/>
          <w:szCs w:val="24"/>
          <w:lang w:val="en-GB"/>
        </w:rPr>
        <w:t xml:space="preserve">that </w:t>
      </w:r>
      <w:r w:rsidR="00C05A92">
        <w:rPr>
          <w:rFonts w:eastAsia="Times New Roman"/>
          <w:sz w:val="24"/>
          <w:szCs w:val="24"/>
          <w:lang w:val="en-GB"/>
        </w:rPr>
        <w:t xml:space="preserve">brings together </w:t>
      </w:r>
      <w:r w:rsidR="00947728" w:rsidRPr="007E64B9">
        <w:rPr>
          <w:rFonts w:eastAsia="Times New Roman"/>
          <w:sz w:val="24"/>
          <w:szCs w:val="24"/>
          <w:lang w:val="en-GB"/>
        </w:rPr>
        <w:t xml:space="preserve">a </w:t>
      </w:r>
      <w:r w:rsidR="009F6194" w:rsidRPr="007E64B9">
        <w:rPr>
          <w:rFonts w:eastAsia="Times New Roman"/>
          <w:sz w:val="24"/>
          <w:szCs w:val="24"/>
          <w:lang w:val="en-GB"/>
        </w:rPr>
        <w:t>strong and varied selection of brands</w:t>
      </w:r>
      <w:r w:rsidR="00C82E8E" w:rsidRPr="007E64B9">
        <w:rPr>
          <w:rFonts w:eastAsia="Times New Roman"/>
          <w:sz w:val="24"/>
          <w:szCs w:val="24"/>
          <w:lang w:val="en-GB"/>
        </w:rPr>
        <w:t>. Small but smart</w:t>
      </w:r>
      <w:r w:rsidR="002456BD">
        <w:rPr>
          <w:rFonts w:eastAsia="Times New Roman"/>
          <w:sz w:val="24"/>
          <w:szCs w:val="24"/>
          <w:lang w:val="en-GB"/>
        </w:rPr>
        <w:t xml:space="preserve"> steps, with an eye on the future</w:t>
      </w:r>
      <w:r w:rsidR="00C82E8E" w:rsidRPr="007E64B9">
        <w:rPr>
          <w:rFonts w:eastAsia="Times New Roman"/>
          <w:sz w:val="24"/>
          <w:szCs w:val="24"/>
          <w:lang w:val="en-GB"/>
        </w:rPr>
        <w:t>.</w:t>
      </w:r>
    </w:p>
    <w:p w14:paraId="5F3129F3" w14:textId="77777777" w:rsidR="002711EF" w:rsidRPr="007E64B9" w:rsidRDefault="002711EF" w:rsidP="008830E9">
      <w:pPr>
        <w:spacing w:after="0" w:line="240" w:lineRule="auto"/>
        <w:jc w:val="both"/>
        <w:rPr>
          <w:rFonts w:eastAsia="Times New Roman"/>
          <w:sz w:val="24"/>
          <w:szCs w:val="24"/>
          <w:lang w:val="en-GB"/>
        </w:rPr>
      </w:pPr>
    </w:p>
    <w:p w14:paraId="33AFCB07" w14:textId="79908624" w:rsidR="002711EF" w:rsidRPr="007E64B9" w:rsidRDefault="00C22348" w:rsidP="008830E9">
      <w:pPr>
        <w:spacing w:after="0" w:line="240" w:lineRule="auto"/>
        <w:jc w:val="both"/>
        <w:rPr>
          <w:rFonts w:eastAsia="Times New Roman"/>
          <w:b/>
          <w:bCs/>
          <w:sz w:val="24"/>
          <w:szCs w:val="24"/>
          <w:lang w:val="en-GB"/>
        </w:rPr>
      </w:pPr>
      <w:r w:rsidRPr="007E64B9">
        <w:rPr>
          <w:rFonts w:eastAsia="Times New Roman"/>
          <w:b/>
          <w:bCs/>
          <w:sz w:val="24"/>
          <w:szCs w:val="24"/>
          <w:lang w:val="en-GB"/>
        </w:rPr>
        <w:t>Brussels by Night</w:t>
      </w:r>
    </w:p>
    <w:p w14:paraId="4BCF5B75" w14:textId="77777777" w:rsidR="00C22348" w:rsidRPr="007E64B9" w:rsidRDefault="00C22348" w:rsidP="008830E9">
      <w:pPr>
        <w:spacing w:after="0" w:line="240" w:lineRule="auto"/>
        <w:jc w:val="both"/>
        <w:rPr>
          <w:rFonts w:eastAsia="Times New Roman"/>
          <w:sz w:val="24"/>
          <w:szCs w:val="24"/>
          <w:lang w:val="en-GB"/>
        </w:rPr>
      </w:pPr>
    </w:p>
    <w:p w14:paraId="2A401F5A" w14:textId="2647C8B8" w:rsidR="00C82E8E" w:rsidRPr="007E64B9" w:rsidRDefault="00C82E8E" w:rsidP="008830E9">
      <w:pPr>
        <w:spacing w:after="0" w:line="240" w:lineRule="auto"/>
        <w:jc w:val="both"/>
        <w:rPr>
          <w:rFonts w:eastAsia="Times New Roman"/>
          <w:sz w:val="24"/>
          <w:szCs w:val="24"/>
          <w:lang w:val="en-GB"/>
        </w:rPr>
      </w:pPr>
      <w:r w:rsidRPr="007E64B9">
        <w:rPr>
          <w:rFonts w:eastAsia="Times New Roman"/>
          <w:sz w:val="24"/>
          <w:szCs w:val="24"/>
          <w:lang w:val="en-GB"/>
        </w:rPr>
        <w:t xml:space="preserve">Not new, but </w:t>
      </w:r>
      <w:r w:rsidR="0047756F" w:rsidRPr="007E64B9">
        <w:rPr>
          <w:rFonts w:eastAsia="Times New Roman"/>
          <w:sz w:val="24"/>
          <w:szCs w:val="24"/>
          <w:lang w:val="en-GB"/>
        </w:rPr>
        <w:t xml:space="preserve">plenty </w:t>
      </w:r>
      <w:r w:rsidRPr="007E64B9">
        <w:rPr>
          <w:rFonts w:eastAsia="Times New Roman"/>
          <w:sz w:val="24"/>
          <w:szCs w:val="24"/>
          <w:lang w:val="en-GB"/>
        </w:rPr>
        <w:t xml:space="preserve">of </w:t>
      </w:r>
      <w:r w:rsidR="00105B28">
        <w:rPr>
          <w:rFonts w:eastAsia="Times New Roman"/>
          <w:sz w:val="24"/>
          <w:szCs w:val="24"/>
          <w:lang w:val="en-GB"/>
        </w:rPr>
        <w:t xml:space="preserve">original </w:t>
      </w:r>
      <w:r w:rsidRPr="007E64B9">
        <w:rPr>
          <w:rFonts w:eastAsia="Times New Roman"/>
          <w:sz w:val="24"/>
          <w:szCs w:val="24"/>
          <w:lang w:val="en-GB"/>
        </w:rPr>
        <w:t>things to discover</w:t>
      </w:r>
      <w:r w:rsidR="00C22348" w:rsidRPr="007E64B9">
        <w:rPr>
          <w:rFonts w:eastAsia="Times New Roman"/>
          <w:sz w:val="24"/>
          <w:szCs w:val="24"/>
          <w:lang w:val="en-GB"/>
        </w:rPr>
        <w:t>.</w:t>
      </w:r>
      <w:r w:rsidR="000B1CB9" w:rsidRPr="007E64B9">
        <w:rPr>
          <w:rFonts w:eastAsia="Times New Roman"/>
          <w:sz w:val="24"/>
          <w:szCs w:val="24"/>
          <w:lang w:val="en-GB"/>
        </w:rPr>
        <w:t xml:space="preserve"> The trend</w:t>
      </w:r>
      <w:r w:rsidR="002F6D1B">
        <w:rPr>
          <w:rFonts w:eastAsia="Times New Roman"/>
          <w:sz w:val="24"/>
          <w:szCs w:val="24"/>
          <w:lang w:val="en-GB"/>
        </w:rPr>
        <w:t xml:space="preserve"> continues</w:t>
      </w:r>
      <w:r w:rsidR="00C22348" w:rsidRPr="007E64B9">
        <w:rPr>
          <w:rFonts w:eastAsia="Times New Roman"/>
          <w:sz w:val="24"/>
          <w:szCs w:val="24"/>
          <w:lang w:val="en-GB"/>
        </w:rPr>
        <w:t xml:space="preserve">. </w:t>
      </w:r>
      <w:r w:rsidR="000B1CB9" w:rsidRPr="007E64B9">
        <w:rPr>
          <w:rFonts w:eastAsia="Times New Roman"/>
          <w:sz w:val="24"/>
          <w:szCs w:val="24"/>
          <w:lang w:val="en-GB"/>
        </w:rPr>
        <w:t xml:space="preserve">Following our targeted investment in 2022, the </w:t>
      </w:r>
      <w:r w:rsidR="00105B28">
        <w:rPr>
          <w:rFonts w:eastAsia="Times New Roman"/>
          <w:sz w:val="24"/>
          <w:szCs w:val="24"/>
          <w:lang w:val="en-GB"/>
        </w:rPr>
        <w:t>quality</w:t>
      </w:r>
      <w:r w:rsidR="00105B28" w:rsidRPr="007E64B9">
        <w:rPr>
          <w:rFonts w:eastAsia="Times New Roman"/>
          <w:sz w:val="24"/>
          <w:szCs w:val="24"/>
          <w:lang w:val="en-GB"/>
        </w:rPr>
        <w:t xml:space="preserve"> </w:t>
      </w:r>
      <w:r w:rsidR="00105B28">
        <w:rPr>
          <w:rFonts w:eastAsia="Times New Roman"/>
          <w:sz w:val="24"/>
          <w:szCs w:val="24"/>
          <w:lang w:val="en-GB"/>
        </w:rPr>
        <w:t xml:space="preserve">of the </w:t>
      </w:r>
      <w:r w:rsidR="000B1CB9" w:rsidRPr="007E64B9">
        <w:rPr>
          <w:rFonts w:eastAsia="Times New Roman"/>
          <w:sz w:val="24"/>
          <w:szCs w:val="24"/>
          <w:lang w:val="en-GB"/>
        </w:rPr>
        <w:t>bedding hall</w:t>
      </w:r>
      <w:r w:rsidR="00105B28">
        <w:rPr>
          <w:rFonts w:eastAsia="Times New Roman"/>
          <w:sz w:val="24"/>
          <w:szCs w:val="24"/>
          <w:lang w:val="en-GB"/>
        </w:rPr>
        <w:t xml:space="preserve"> </w:t>
      </w:r>
      <w:r w:rsidR="002F6D1B">
        <w:rPr>
          <w:rFonts w:eastAsia="Times New Roman"/>
          <w:sz w:val="24"/>
          <w:szCs w:val="24"/>
          <w:lang w:val="en-GB"/>
        </w:rPr>
        <w:t>continues</w:t>
      </w:r>
      <w:r w:rsidR="00105B28">
        <w:rPr>
          <w:rFonts w:eastAsia="Times New Roman"/>
          <w:sz w:val="24"/>
          <w:szCs w:val="24"/>
          <w:lang w:val="en-GB"/>
        </w:rPr>
        <w:t xml:space="preserve"> to </w:t>
      </w:r>
      <w:r w:rsidR="00C05A92">
        <w:rPr>
          <w:rFonts w:eastAsia="Times New Roman"/>
          <w:sz w:val="24"/>
          <w:szCs w:val="24"/>
          <w:lang w:val="en-GB"/>
        </w:rPr>
        <w:t>rise</w:t>
      </w:r>
      <w:r w:rsidR="002F6D1B">
        <w:rPr>
          <w:rFonts w:eastAsia="Times New Roman"/>
          <w:sz w:val="24"/>
          <w:szCs w:val="24"/>
          <w:lang w:val="en-GB"/>
        </w:rPr>
        <w:t xml:space="preserve">. </w:t>
      </w:r>
      <w:r w:rsidR="000B1CB9" w:rsidRPr="007E64B9">
        <w:rPr>
          <w:rFonts w:eastAsia="Times New Roman"/>
          <w:sz w:val="24"/>
          <w:szCs w:val="24"/>
          <w:lang w:val="en-GB"/>
        </w:rPr>
        <w:t>In 2023, t</w:t>
      </w:r>
      <w:r w:rsidR="000E620D" w:rsidRPr="007E64B9">
        <w:rPr>
          <w:rFonts w:eastAsia="Times New Roman"/>
          <w:sz w:val="24"/>
          <w:szCs w:val="24"/>
          <w:lang w:val="en-GB"/>
        </w:rPr>
        <w:t xml:space="preserve">he same exhibitors reoccupied </w:t>
      </w:r>
      <w:r w:rsidR="00C22348" w:rsidRPr="007E64B9">
        <w:rPr>
          <w:rFonts w:eastAsia="Times New Roman"/>
          <w:sz w:val="24"/>
          <w:szCs w:val="24"/>
          <w:lang w:val="en-GB"/>
        </w:rPr>
        <w:t>9</w:t>
      </w:r>
      <w:r w:rsidR="00CC003F" w:rsidRPr="007E64B9">
        <w:rPr>
          <w:rFonts w:eastAsia="Times New Roman"/>
          <w:sz w:val="24"/>
          <w:szCs w:val="24"/>
          <w:lang w:val="en-GB"/>
        </w:rPr>
        <w:t>0</w:t>
      </w:r>
      <w:r w:rsidR="00C22348" w:rsidRPr="007E64B9">
        <w:rPr>
          <w:rFonts w:eastAsia="Times New Roman"/>
          <w:sz w:val="24"/>
          <w:szCs w:val="24"/>
          <w:lang w:val="en-GB"/>
        </w:rPr>
        <w:t xml:space="preserve">% </w:t>
      </w:r>
      <w:r w:rsidRPr="007E64B9">
        <w:rPr>
          <w:rFonts w:eastAsia="Times New Roman"/>
          <w:sz w:val="24"/>
          <w:szCs w:val="24"/>
          <w:lang w:val="en-GB"/>
        </w:rPr>
        <w:t xml:space="preserve">of the </w:t>
      </w:r>
      <w:r w:rsidR="00A4509E" w:rsidRPr="007E64B9">
        <w:rPr>
          <w:rFonts w:eastAsia="Times New Roman"/>
          <w:sz w:val="24"/>
          <w:szCs w:val="24"/>
          <w:lang w:val="en-GB"/>
        </w:rPr>
        <w:t xml:space="preserve">floor space </w:t>
      </w:r>
      <w:r w:rsidRPr="007E64B9">
        <w:rPr>
          <w:rFonts w:eastAsia="Times New Roman"/>
          <w:sz w:val="24"/>
          <w:szCs w:val="24"/>
          <w:lang w:val="en-GB"/>
        </w:rPr>
        <w:t>(proof of continuity) and we are experiencing qualitative growth with newcomers</w:t>
      </w:r>
      <w:r w:rsidR="003637E0">
        <w:rPr>
          <w:rFonts w:eastAsia="Times New Roman"/>
          <w:sz w:val="24"/>
          <w:szCs w:val="24"/>
          <w:lang w:val="en-GB"/>
        </w:rPr>
        <w:t xml:space="preserve">, </w:t>
      </w:r>
      <w:r w:rsidRPr="007E64B9">
        <w:rPr>
          <w:rFonts w:eastAsia="Times New Roman"/>
          <w:sz w:val="24"/>
          <w:szCs w:val="24"/>
          <w:lang w:val="en-GB"/>
        </w:rPr>
        <w:t xml:space="preserve">such as </w:t>
      </w:r>
      <w:r w:rsidR="00B70B17">
        <w:rPr>
          <w:rFonts w:eastAsia="Times New Roman"/>
          <w:sz w:val="24"/>
          <w:szCs w:val="24"/>
          <w:lang w:val="en-GB"/>
        </w:rPr>
        <w:t xml:space="preserve">the </w:t>
      </w:r>
      <w:r w:rsidRPr="007E64B9">
        <w:rPr>
          <w:rFonts w:eastAsia="Times New Roman"/>
          <w:sz w:val="24"/>
          <w:szCs w:val="24"/>
          <w:lang w:val="en-GB"/>
        </w:rPr>
        <w:t xml:space="preserve">Luxury Bedding Company, </w:t>
      </w:r>
      <w:proofErr w:type="spellStart"/>
      <w:r w:rsidRPr="007E64B9">
        <w:rPr>
          <w:rFonts w:eastAsia="Times New Roman"/>
          <w:sz w:val="24"/>
          <w:szCs w:val="24"/>
          <w:lang w:val="en-GB"/>
        </w:rPr>
        <w:t>Adova</w:t>
      </w:r>
      <w:proofErr w:type="spellEnd"/>
      <w:r w:rsidRPr="007E64B9">
        <w:rPr>
          <w:rFonts w:eastAsia="Times New Roman"/>
          <w:sz w:val="24"/>
          <w:szCs w:val="24"/>
          <w:lang w:val="en-GB"/>
        </w:rPr>
        <w:t xml:space="preserve"> group, Gomarco and </w:t>
      </w:r>
      <w:proofErr w:type="spellStart"/>
      <w:r w:rsidRPr="007E64B9">
        <w:rPr>
          <w:rFonts w:eastAsia="Times New Roman"/>
          <w:sz w:val="24"/>
          <w:szCs w:val="24"/>
          <w:lang w:val="en-GB"/>
        </w:rPr>
        <w:t>Rogaswisstech</w:t>
      </w:r>
      <w:proofErr w:type="spellEnd"/>
      <w:r w:rsidRPr="007E64B9">
        <w:rPr>
          <w:rFonts w:eastAsia="Times New Roman"/>
          <w:sz w:val="24"/>
          <w:szCs w:val="24"/>
          <w:lang w:val="en-GB"/>
        </w:rPr>
        <w:t>.</w:t>
      </w:r>
      <w:r w:rsidR="00365AAB" w:rsidRPr="007E64B9">
        <w:rPr>
          <w:rFonts w:eastAsia="Times New Roman"/>
          <w:sz w:val="24"/>
          <w:szCs w:val="24"/>
          <w:lang w:val="en-GB"/>
        </w:rPr>
        <w:t xml:space="preserve"> </w:t>
      </w:r>
      <w:r w:rsidR="002F6D1B">
        <w:rPr>
          <w:rFonts w:eastAsia="Times New Roman"/>
          <w:sz w:val="24"/>
          <w:szCs w:val="24"/>
          <w:lang w:val="en-GB"/>
        </w:rPr>
        <w:t xml:space="preserve">A superb </w:t>
      </w:r>
      <w:r w:rsidR="00365AAB" w:rsidRPr="007E64B9">
        <w:rPr>
          <w:rFonts w:eastAsia="Times New Roman"/>
          <w:sz w:val="24"/>
          <w:szCs w:val="24"/>
          <w:lang w:val="en-GB"/>
        </w:rPr>
        <w:t>international</w:t>
      </w:r>
      <w:r w:rsidR="002F6D1B">
        <w:rPr>
          <w:rFonts w:eastAsia="Times New Roman"/>
          <w:sz w:val="24"/>
          <w:szCs w:val="24"/>
          <w:lang w:val="en-GB"/>
        </w:rPr>
        <w:t>i</w:t>
      </w:r>
      <w:r w:rsidR="003637E0">
        <w:rPr>
          <w:rFonts w:eastAsia="Times New Roman"/>
          <w:sz w:val="24"/>
          <w:szCs w:val="24"/>
          <w:lang w:val="en-GB"/>
        </w:rPr>
        <w:t>z</w:t>
      </w:r>
      <w:r w:rsidR="002F6D1B">
        <w:rPr>
          <w:rFonts w:eastAsia="Times New Roman"/>
          <w:sz w:val="24"/>
          <w:szCs w:val="24"/>
          <w:lang w:val="en-GB"/>
        </w:rPr>
        <w:t>ation of the offering.</w:t>
      </w:r>
    </w:p>
    <w:p w14:paraId="7821E18F" w14:textId="77777777" w:rsidR="00FF0D4A" w:rsidRPr="007E64B9" w:rsidRDefault="00FF0D4A" w:rsidP="008830E9">
      <w:pPr>
        <w:spacing w:after="0" w:line="240" w:lineRule="auto"/>
        <w:jc w:val="both"/>
        <w:rPr>
          <w:rFonts w:eastAsia="Times New Roman"/>
          <w:sz w:val="24"/>
          <w:szCs w:val="24"/>
          <w:lang w:val="en-GB"/>
        </w:rPr>
      </w:pPr>
    </w:p>
    <w:p w14:paraId="7339DA1F" w14:textId="77777777" w:rsidR="002F5E50" w:rsidRPr="007E64B9" w:rsidRDefault="002F5E50" w:rsidP="008830E9">
      <w:pPr>
        <w:spacing w:after="0" w:line="240" w:lineRule="auto"/>
        <w:jc w:val="both"/>
        <w:rPr>
          <w:rFonts w:eastAsia="Times New Roman"/>
          <w:sz w:val="24"/>
          <w:szCs w:val="24"/>
          <w:lang w:val="en-GB"/>
        </w:rPr>
      </w:pPr>
    </w:p>
    <w:tbl>
      <w:tblPr>
        <w:tblW w:w="4560" w:type="dxa"/>
        <w:jc w:val="center"/>
        <w:tblCellMar>
          <w:left w:w="70" w:type="dxa"/>
          <w:right w:w="70" w:type="dxa"/>
        </w:tblCellMar>
        <w:tblLook w:val="04A0" w:firstRow="1" w:lastRow="0" w:firstColumn="1" w:lastColumn="0" w:noHBand="0" w:noVBand="1"/>
      </w:tblPr>
      <w:tblGrid>
        <w:gridCol w:w="1937"/>
        <w:gridCol w:w="2623"/>
      </w:tblGrid>
      <w:tr w:rsidR="00C56D1C" w:rsidRPr="007E64B9" w14:paraId="1246D1E4" w14:textId="77777777" w:rsidTr="007608AB">
        <w:trPr>
          <w:trHeight w:val="315"/>
          <w:jc w:val="center"/>
        </w:trPr>
        <w:tc>
          <w:tcPr>
            <w:tcW w:w="456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C28BF7D" w14:textId="23B5E70C" w:rsidR="00C56D1C" w:rsidRPr="007E64B9" w:rsidRDefault="00C56D1C" w:rsidP="008830E9">
            <w:pPr>
              <w:spacing w:after="0" w:line="240" w:lineRule="auto"/>
              <w:jc w:val="both"/>
              <w:rPr>
                <w:rFonts w:eastAsia="Times New Roman" w:cs="Times New Roman"/>
                <w:b/>
                <w:bCs/>
                <w:color w:val="000000"/>
                <w:sz w:val="24"/>
                <w:szCs w:val="24"/>
                <w:lang w:val="en-GB" w:eastAsia="fr-BE"/>
              </w:rPr>
            </w:pPr>
            <w:r w:rsidRPr="007E64B9">
              <w:rPr>
                <w:rFonts w:eastAsia="Times New Roman" w:cs="Times New Roman"/>
                <w:b/>
                <w:bCs/>
                <w:color w:val="000000"/>
                <w:sz w:val="24"/>
                <w:szCs w:val="24"/>
                <w:lang w:val="en-GB" w:eastAsia="fr-BE"/>
              </w:rPr>
              <w:t xml:space="preserve">2024 </w:t>
            </w:r>
            <w:r w:rsidR="00A4509E" w:rsidRPr="007E64B9">
              <w:rPr>
                <w:rFonts w:eastAsia="Times New Roman" w:cs="Times New Roman"/>
                <w:b/>
                <w:bCs/>
                <w:color w:val="000000"/>
                <w:sz w:val="24"/>
                <w:szCs w:val="24"/>
                <w:lang w:val="en-GB" w:eastAsia="fr-BE"/>
              </w:rPr>
              <w:t>–</w:t>
            </w:r>
            <w:r w:rsidRPr="007E64B9">
              <w:rPr>
                <w:rFonts w:eastAsia="Times New Roman" w:cs="Times New Roman"/>
                <w:b/>
                <w:bCs/>
                <w:color w:val="000000"/>
                <w:sz w:val="24"/>
                <w:szCs w:val="24"/>
                <w:lang w:val="en-GB" w:eastAsia="fr-BE"/>
              </w:rPr>
              <w:t xml:space="preserve"> Brussels by Night</w:t>
            </w:r>
          </w:p>
        </w:tc>
      </w:tr>
      <w:tr w:rsidR="00C56D1C" w:rsidRPr="007E64B9" w14:paraId="27A1AD09" w14:textId="77777777" w:rsidTr="007608AB">
        <w:trPr>
          <w:trHeight w:val="300"/>
          <w:jc w:val="center"/>
        </w:trPr>
        <w:tc>
          <w:tcPr>
            <w:tcW w:w="1937" w:type="dxa"/>
            <w:tcBorders>
              <w:top w:val="nil"/>
              <w:left w:val="single" w:sz="4" w:space="0" w:color="auto"/>
              <w:bottom w:val="single" w:sz="4" w:space="0" w:color="auto"/>
              <w:right w:val="single" w:sz="4" w:space="0" w:color="auto"/>
            </w:tcBorders>
            <w:shd w:val="clear" w:color="auto" w:fill="auto"/>
            <w:noWrap/>
            <w:vAlign w:val="center"/>
            <w:hideMark/>
          </w:tcPr>
          <w:p w14:paraId="41EEC323" w14:textId="37DC1747" w:rsidR="00C56D1C" w:rsidRPr="007E64B9" w:rsidRDefault="00B70B17" w:rsidP="008830E9">
            <w:pPr>
              <w:spacing w:after="0" w:line="240" w:lineRule="auto"/>
              <w:jc w:val="both"/>
              <w:rPr>
                <w:rFonts w:eastAsia="Times New Roman" w:cs="Times New Roman"/>
                <w:i/>
                <w:iCs/>
                <w:color w:val="000000"/>
                <w:sz w:val="24"/>
                <w:szCs w:val="24"/>
                <w:lang w:val="en-GB" w:eastAsia="fr-BE"/>
              </w:rPr>
            </w:pPr>
            <w:r>
              <w:rPr>
                <w:rFonts w:eastAsia="Times New Roman" w:cs="Times New Roman"/>
                <w:i/>
                <w:iCs/>
                <w:color w:val="000000"/>
                <w:sz w:val="24"/>
                <w:szCs w:val="24"/>
                <w:lang w:val="en-GB" w:eastAsia="fr-BE"/>
              </w:rPr>
              <w:t>Country</w:t>
            </w:r>
          </w:p>
        </w:tc>
        <w:tc>
          <w:tcPr>
            <w:tcW w:w="2623" w:type="dxa"/>
            <w:tcBorders>
              <w:top w:val="nil"/>
              <w:left w:val="nil"/>
              <w:bottom w:val="single" w:sz="4" w:space="0" w:color="auto"/>
              <w:right w:val="single" w:sz="4" w:space="0" w:color="auto"/>
            </w:tcBorders>
            <w:shd w:val="clear" w:color="auto" w:fill="auto"/>
            <w:noWrap/>
            <w:vAlign w:val="center"/>
            <w:hideMark/>
          </w:tcPr>
          <w:p w14:paraId="7FC0EF1A" w14:textId="3FF10FDB" w:rsidR="00C56D1C" w:rsidRPr="007E64B9" w:rsidRDefault="00C56D1C" w:rsidP="008830E9">
            <w:pPr>
              <w:spacing w:after="0" w:line="240" w:lineRule="auto"/>
              <w:jc w:val="both"/>
              <w:rPr>
                <w:rFonts w:eastAsia="Times New Roman" w:cs="Times New Roman"/>
                <w:i/>
                <w:iCs/>
                <w:color w:val="000000"/>
                <w:sz w:val="24"/>
                <w:szCs w:val="24"/>
                <w:lang w:val="en-GB" w:eastAsia="fr-BE"/>
              </w:rPr>
            </w:pPr>
            <w:r w:rsidRPr="007E64B9">
              <w:rPr>
                <w:rFonts w:eastAsia="Times New Roman" w:cs="Times New Roman"/>
                <w:i/>
                <w:iCs/>
                <w:color w:val="000000"/>
                <w:sz w:val="24"/>
                <w:szCs w:val="24"/>
                <w:lang w:val="en-GB" w:eastAsia="fr-BE"/>
              </w:rPr>
              <w:t xml:space="preserve"># </w:t>
            </w:r>
            <w:r w:rsidR="00C82E8E" w:rsidRPr="007E64B9">
              <w:rPr>
                <w:rFonts w:eastAsia="Times New Roman" w:cs="Times New Roman"/>
                <w:i/>
                <w:iCs/>
                <w:color w:val="000000"/>
                <w:sz w:val="24"/>
                <w:szCs w:val="24"/>
                <w:lang w:val="en-GB" w:eastAsia="fr-BE"/>
              </w:rPr>
              <w:t>brands present</w:t>
            </w:r>
          </w:p>
        </w:tc>
      </w:tr>
      <w:tr w:rsidR="00C56D1C" w:rsidRPr="007E64B9" w14:paraId="6E34F76A" w14:textId="77777777" w:rsidTr="007608AB">
        <w:trPr>
          <w:trHeight w:val="300"/>
          <w:jc w:val="center"/>
        </w:trPr>
        <w:tc>
          <w:tcPr>
            <w:tcW w:w="1937" w:type="dxa"/>
            <w:tcBorders>
              <w:top w:val="nil"/>
              <w:left w:val="single" w:sz="4" w:space="0" w:color="auto"/>
              <w:bottom w:val="single" w:sz="4" w:space="0" w:color="auto"/>
              <w:right w:val="single" w:sz="4" w:space="0" w:color="auto"/>
            </w:tcBorders>
            <w:shd w:val="clear" w:color="auto" w:fill="auto"/>
            <w:noWrap/>
            <w:vAlign w:val="bottom"/>
            <w:hideMark/>
          </w:tcPr>
          <w:p w14:paraId="0077FE07" w14:textId="72A86B2E" w:rsidR="00C56D1C" w:rsidRPr="007E64B9" w:rsidRDefault="00C82E8E"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Belgium</w:t>
            </w:r>
          </w:p>
        </w:tc>
        <w:tc>
          <w:tcPr>
            <w:tcW w:w="2623" w:type="dxa"/>
            <w:tcBorders>
              <w:top w:val="nil"/>
              <w:left w:val="nil"/>
              <w:bottom w:val="single" w:sz="4" w:space="0" w:color="auto"/>
              <w:right w:val="single" w:sz="4" w:space="0" w:color="auto"/>
            </w:tcBorders>
            <w:shd w:val="clear" w:color="auto" w:fill="auto"/>
            <w:noWrap/>
            <w:vAlign w:val="bottom"/>
            <w:hideMark/>
          </w:tcPr>
          <w:p w14:paraId="1658F829" w14:textId="77777777" w:rsidR="00C56D1C" w:rsidRPr="007E64B9" w:rsidRDefault="00C56D1C"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12</w:t>
            </w:r>
          </w:p>
        </w:tc>
      </w:tr>
      <w:tr w:rsidR="00C56D1C" w:rsidRPr="007E64B9" w14:paraId="408C86AB" w14:textId="77777777" w:rsidTr="007608AB">
        <w:trPr>
          <w:trHeight w:val="300"/>
          <w:jc w:val="center"/>
        </w:trPr>
        <w:tc>
          <w:tcPr>
            <w:tcW w:w="1937" w:type="dxa"/>
            <w:tcBorders>
              <w:top w:val="nil"/>
              <w:left w:val="single" w:sz="4" w:space="0" w:color="auto"/>
              <w:bottom w:val="single" w:sz="4" w:space="0" w:color="auto"/>
              <w:right w:val="single" w:sz="4" w:space="0" w:color="auto"/>
            </w:tcBorders>
            <w:shd w:val="clear" w:color="000000" w:fill="F2F2F2"/>
            <w:noWrap/>
            <w:vAlign w:val="bottom"/>
            <w:hideMark/>
          </w:tcPr>
          <w:p w14:paraId="01047D88" w14:textId="4084A995" w:rsidR="00C56D1C" w:rsidRPr="007E64B9" w:rsidRDefault="00C82E8E"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Netherlands</w:t>
            </w:r>
          </w:p>
        </w:tc>
        <w:tc>
          <w:tcPr>
            <w:tcW w:w="2623" w:type="dxa"/>
            <w:tcBorders>
              <w:top w:val="nil"/>
              <w:left w:val="nil"/>
              <w:bottom w:val="single" w:sz="4" w:space="0" w:color="auto"/>
              <w:right w:val="single" w:sz="4" w:space="0" w:color="auto"/>
            </w:tcBorders>
            <w:shd w:val="clear" w:color="000000" w:fill="F2F2F2"/>
            <w:noWrap/>
            <w:vAlign w:val="bottom"/>
            <w:hideMark/>
          </w:tcPr>
          <w:p w14:paraId="24508860" w14:textId="77777777" w:rsidR="00C56D1C" w:rsidRPr="007E64B9" w:rsidRDefault="00C56D1C"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10</w:t>
            </w:r>
          </w:p>
        </w:tc>
      </w:tr>
      <w:tr w:rsidR="00C56D1C" w:rsidRPr="007E64B9" w14:paraId="4520B804" w14:textId="77777777" w:rsidTr="007608AB">
        <w:trPr>
          <w:trHeight w:val="300"/>
          <w:jc w:val="center"/>
        </w:trPr>
        <w:tc>
          <w:tcPr>
            <w:tcW w:w="1937" w:type="dxa"/>
            <w:tcBorders>
              <w:top w:val="nil"/>
              <w:left w:val="single" w:sz="4" w:space="0" w:color="auto"/>
              <w:bottom w:val="single" w:sz="4" w:space="0" w:color="auto"/>
              <w:right w:val="single" w:sz="4" w:space="0" w:color="auto"/>
            </w:tcBorders>
            <w:shd w:val="clear" w:color="auto" w:fill="auto"/>
            <w:noWrap/>
            <w:vAlign w:val="bottom"/>
            <w:hideMark/>
          </w:tcPr>
          <w:p w14:paraId="6A173183" w14:textId="22B55DDD" w:rsidR="00C56D1C" w:rsidRPr="007E64B9" w:rsidRDefault="00C82E8E"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Germany</w:t>
            </w:r>
          </w:p>
        </w:tc>
        <w:tc>
          <w:tcPr>
            <w:tcW w:w="2623" w:type="dxa"/>
            <w:tcBorders>
              <w:top w:val="nil"/>
              <w:left w:val="nil"/>
              <w:bottom w:val="single" w:sz="4" w:space="0" w:color="auto"/>
              <w:right w:val="single" w:sz="4" w:space="0" w:color="auto"/>
            </w:tcBorders>
            <w:shd w:val="clear" w:color="auto" w:fill="auto"/>
            <w:noWrap/>
            <w:vAlign w:val="bottom"/>
            <w:hideMark/>
          </w:tcPr>
          <w:p w14:paraId="16D35997" w14:textId="77777777" w:rsidR="00C56D1C" w:rsidRPr="007E64B9" w:rsidRDefault="00C56D1C"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2</w:t>
            </w:r>
          </w:p>
        </w:tc>
      </w:tr>
      <w:tr w:rsidR="00C56D1C" w:rsidRPr="007E64B9" w14:paraId="47975A01" w14:textId="77777777" w:rsidTr="007608AB">
        <w:trPr>
          <w:trHeight w:val="300"/>
          <w:jc w:val="center"/>
        </w:trPr>
        <w:tc>
          <w:tcPr>
            <w:tcW w:w="1937" w:type="dxa"/>
            <w:tcBorders>
              <w:top w:val="nil"/>
              <w:left w:val="single" w:sz="4" w:space="0" w:color="auto"/>
              <w:bottom w:val="single" w:sz="4" w:space="0" w:color="auto"/>
              <w:right w:val="single" w:sz="4" w:space="0" w:color="auto"/>
            </w:tcBorders>
            <w:shd w:val="clear" w:color="000000" w:fill="F2F2F2"/>
            <w:noWrap/>
            <w:vAlign w:val="bottom"/>
            <w:hideMark/>
          </w:tcPr>
          <w:p w14:paraId="13405A35" w14:textId="465A15E9" w:rsidR="00C56D1C" w:rsidRPr="007E64B9" w:rsidRDefault="00A4509E"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France</w:t>
            </w:r>
          </w:p>
        </w:tc>
        <w:tc>
          <w:tcPr>
            <w:tcW w:w="2623" w:type="dxa"/>
            <w:tcBorders>
              <w:top w:val="nil"/>
              <w:left w:val="nil"/>
              <w:bottom w:val="single" w:sz="4" w:space="0" w:color="auto"/>
              <w:right w:val="single" w:sz="4" w:space="0" w:color="auto"/>
            </w:tcBorders>
            <w:shd w:val="clear" w:color="000000" w:fill="F2F2F2"/>
            <w:noWrap/>
            <w:vAlign w:val="bottom"/>
            <w:hideMark/>
          </w:tcPr>
          <w:p w14:paraId="26D1542F" w14:textId="77777777" w:rsidR="00C56D1C" w:rsidRPr="007E64B9" w:rsidRDefault="00C56D1C"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2</w:t>
            </w:r>
          </w:p>
        </w:tc>
      </w:tr>
      <w:tr w:rsidR="00C56D1C" w:rsidRPr="007E64B9" w14:paraId="66A4BFD1" w14:textId="77777777" w:rsidTr="007608AB">
        <w:trPr>
          <w:trHeight w:val="300"/>
          <w:jc w:val="center"/>
        </w:trPr>
        <w:tc>
          <w:tcPr>
            <w:tcW w:w="1937" w:type="dxa"/>
            <w:tcBorders>
              <w:top w:val="nil"/>
              <w:left w:val="single" w:sz="4" w:space="0" w:color="auto"/>
              <w:bottom w:val="single" w:sz="4" w:space="0" w:color="auto"/>
              <w:right w:val="single" w:sz="4" w:space="0" w:color="auto"/>
            </w:tcBorders>
            <w:shd w:val="clear" w:color="auto" w:fill="auto"/>
            <w:noWrap/>
            <w:vAlign w:val="bottom"/>
            <w:hideMark/>
          </w:tcPr>
          <w:p w14:paraId="1464A46B" w14:textId="5940F72A" w:rsidR="00C56D1C" w:rsidRPr="007E64B9" w:rsidRDefault="00C82E8E"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Hungary</w:t>
            </w:r>
          </w:p>
        </w:tc>
        <w:tc>
          <w:tcPr>
            <w:tcW w:w="2623" w:type="dxa"/>
            <w:tcBorders>
              <w:top w:val="nil"/>
              <w:left w:val="nil"/>
              <w:bottom w:val="single" w:sz="4" w:space="0" w:color="auto"/>
              <w:right w:val="single" w:sz="4" w:space="0" w:color="auto"/>
            </w:tcBorders>
            <w:shd w:val="clear" w:color="auto" w:fill="auto"/>
            <w:noWrap/>
            <w:vAlign w:val="bottom"/>
            <w:hideMark/>
          </w:tcPr>
          <w:p w14:paraId="74045E5B" w14:textId="77777777" w:rsidR="00C56D1C" w:rsidRPr="007E64B9" w:rsidRDefault="00C56D1C"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1</w:t>
            </w:r>
          </w:p>
        </w:tc>
      </w:tr>
      <w:tr w:rsidR="00C56D1C" w:rsidRPr="007E64B9" w14:paraId="69917240" w14:textId="77777777" w:rsidTr="007608AB">
        <w:trPr>
          <w:trHeight w:val="300"/>
          <w:jc w:val="center"/>
        </w:trPr>
        <w:tc>
          <w:tcPr>
            <w:tcW w:w="1937" w:type="dxa"/>
            <w:tcBorders>
              <w:top w:val="nil"/>
              <w:left w:val="single" w:sz="4" w:space="0" w:color="auto"/>
              <w:bottom w:val="single" w:sz="4" w:space="0" w:color="auto"/>
              <w:right w:val="single" w:sz="4" w:space="0" w:color="auto"/>
            </w:tcBorders>
            <w:shd w:val="clear" w:color="000000" w:fill="F2F2F2"/>
            <w:noWrap/>
            <w:vAlign w:val="bottom"/>
            <w:hideMark/>
          </w:tcPr>
          <w:p w14:paraId="595FB161" w14:textId="47D8ADF8" w:rsidR="00C56D1C" w:rsidRPr="007E64B9" w:rsidRDefault="00C82E8E"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Lithuania</w:t>
            </w:r>
          </w:p>
        </w:tc>
        <w:tc>
          <w:tcPr>
            <w:tcW w:w="2623" w:type="dxa"/>
            <w:tcBorders>
              <w:top w:val="nil"/>
              <w:left w:val="nil"/>
              <w:bottom w:val="single" w:sz="4" w:space="0" w:color="auto"/>
              <w:right w:val="single" w:sz="4" w:space="0" w:color="auto"/>
            </w:tcBorders>
            <w:shd w:val="clear" w:color="000000" w:fill="F2F2F2"/>
            <w:noWrap/>
            <w:vAlign w:val="bottom"/>
            <w:hideMark/>
          </w:tcPr>
          <w:p w14:paraId="4724CB20" w14:textId="77777777" w:rsidR="00C56D1C" w:rsidRPr="007E64B9" w:rsidRDefault="00C56D1C"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1</w:t>
            </w:r>
          </w:p>
        </w:tc>
      </w:tr>
      <w:tr w:rsidR="00C56D1C" w:rsidRPr="007E64B9" w14:paraId="3D6FCF3C" w14:textId="77777777" w:rsidTr="007608AB">
        <w:trPr>
          <w:trHeight w:val="300"/>
          <w:jc w:val="center"/>
        </w:trPr>
        <w:tc>
          <w:tcPr>
            <w:tcW w:w="1937" w:type="dxa"/>
            <w:tcBorders>
              <w:top w:val="nil"/>
              <w:left w:val="single" w:sz="4" w:space="0" w:color="auto"/>
              <w:bottom w:val="single" w:sz="4" w:space="0" w:color="auto"/>
              <w:right w:val="single" w:sz="4" w:space="0" w:color="auto"/>
            </w:tcBorders>
            <w:shd w:val="clear" w:color="auto" w:fill="auto"/>
            <w:noWrap/>
            <w:vAlign w:val="bottom"/>
            <w:hideMark/>
          </w:tcPr>
          <w:p w14:paraId="0BD8E31C" w14:textId="00CC6F5B" w:rsidR="00C56D1C" w:rsidRPr="007E64B9" w:rsidRDefault="00C56D1C"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Spa</w:t>
            </w:r>
            <w:r w:rsidR="00C82E8E" w:rsidRPr="007E64B9">
              <w:rPr>
                <w:rFonts w:eastAsia="Times New Roman" w:cs="Times New Roman"/>
                <w:color w:val="000000"/>
                <w:sz w:val="24"/>
                <w:szCs w:val="24"/>
                <w:lang w:val="en-GB" w:eastAsia="fr-BE"/>
              </w:rPr>
              <w:t>in</w:t>
            </w:r>
          </w:p>
        </w:tc>
        <w:tc>
          <w:tcPr>
            <w:tcW w:w="2623" w:type="dxa"/>
            <w:tcBorders>
              <w:top w:val="nil"/>
              <w:left w:val="nil"/>
              <w:bottom w:val="single" w:sz="4" w:space="0" w:color="auto"/>
              <w:right w:val="single" w:sz="4" w:space="0" w:color="auto"/>
            </w:tcBorders>
            <w:shd w:val="clear" w:color="auto" w:fill="auto"/>
            <w:noWrap/>
            <w:vAlign w:val="bottom"/>
            <w:hideMark/>
          </w:tcPr>
          <w:p w14:paraId="1A8D6531" w14:textId="77777777" w:rsidR="00C56D1C" w:rsidRPr="007E64B9" w:rsidRDefault="00C56D1C"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1</w:t>
            </w:r>
          </w:p>
        </w:tc>
      </w:tr>
      <w:tr w:rsidR="00C56D1C" w:rsidRPr="007E64B9" w14:paraId="1963A44A" w14:textId="77777777" w:rsidTr="007608AB">
        <w:trPr>
          <w:trHeight w:val="300"/>
          <w:jc w:val="center"/>
        </w:trPr>
        <w:tc>
          <w:tcPr>
            <w:tcW w:w="1937" w:type="dxa"/>
            <w:tcBorders>
              <w:top w:val="nil"/>
              <w:left w:val="single" w:sz="4" w:space="0" w:color="auto"/>
              <w:bottom w:val="single" w:sz="4" w:space="0" w:color="auto"/>
              <w:right w:val="single" w:sz="4" w:space="0" w:color="auto"/>
            </w:tcBorders>
            <w:shd w:val="clear" w:color="000000" w:fill="F2F2F2"/>
            <w:noWrap/>
            <w:vAlign w:val="bottom"/>
            <w:hideMark/>
          </w:tcPr>
          <w:p w14:paraId="056E00C0" w14:textId="20D6F857" w:rsidR="00C56D1C" w:rsidRPr="007E64B9" w:rsidRDefault="00C82E8E"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United Kingdom</w:t>
            </w:r>
          </w:p>
        </w:tc>
        <w:tc>
          <w:tcPr>
            <w:tcW w:w="2623" w:type="dxa"/>
            <w:tcBorders>
              <w:top w:val="nil"/>
              <w:left w:val="nil"/>
              <w:bottom w:val="single" w:sz="4" w:space="0" w:color="auto"/>
              <w:right w:val="single" w:sz="4" w:space="0" w:color="auto"/>
            </w:tcBorders>
            <w:shd w:val="clear" w:color="000000" w:fill="F2F2F2"/>
            <w:noWrap/>
            <w:vAlign w:val="bottom"/>
            <w:hideMark/>
          </w:tcPr>
          <w:p w14:paraId="681F71F5" w14:textId="77777777" w:rsidR="00C56D1C" w:rsidRPr="007E64B9" w:rsidRDefault="00C56D1C"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1</w:t>
            </w:r>
          </w:p>
        </w:tc>
      </w:tr>
    </w:tbl>
    <w:p w14:paraId="6F8A82D4" w14:textId="77777777" w:rsidR="002F5E50" w:rsidRPr="007E64B9" w:rsidRDefault="002F5E50" w:rsidP="008830E9">
      <w:pPr>
        <w:spacing w:after="0" w:line="240" w:lineRule="auto"/>
        <w:jc w:val="both"/>
        <w:rPr>
          <w:rFonts w:eastAsia="Times New Roman"/>
          <w:sz w:val="24"/>
          <w:szCs w:val="24"/>
          <w:lang w:val="en-GB"/>
        </w:rPr>
      </w:pPr>
    </w:p>
    <w:p w14:paraId="74E942E3" w14:textId="09077123" w:rsidR="00C82E8E" w:rsidRPr="007E64B9" w:rsidRDefault="00C82E8E" w:rsidP="008830E9">
      <w:pPr>
        <w:jc w:val="both"/>
        <w:rPr>
          <w:rFonts w:eastAsia="Times New Roman"/>
          <w:b/>
          <w:bCs/>
          <w:sz w:val="24"/>
          <w:szCs w:val="24"/>
          <w:lang w:val="en-GB"/>
        </w:rPr>
      </w:pPr>
      <w:r w:rsidRPr="007E64B9">
        <w:rPr>
          <w:rFonts w:eastAsia="Times New Roman"/>
          <w:b/>
          <w:bCs/>
          <w:sz w:val="24"/>
          <w:szCs w:val="24"/>
          <w:lang w:val="en-GB"/>
        </w:rPr>
        <w:t>Information linked to animation</w:t>
      </w:r>
    </w:p>
    <w:p w14:paraId="124DB9F4" w14:textId="27B434E4" w:rsidR="00CC003F" w:rsidRPr="007E64B9" w:rsidRDefault="002F6D1B" w:rsidP="008830E9">
      <w:pPr>
        <w:jc w:val="both"/>
        <w:rPr>
          <w:sz w:val="24"/>
          <w:szCs w:val="24"/>
          <w:lang w:val="en-GB"/>
        </w:rPr>
      </w:pPr>
      <w:r>
        <w:rPr>
          <w:sz w:val="24"/>
          <w:szCs w:val="24"/>
          <w:lang w:val="en-GB"/>
        </w:rPr>
        <w:t>Visitors will once again be welcomed by our local newspaper boys and girls</w:t>
      </w:r>
      <w:r w:rsidR="00C82E8E" w:rsidRPr="007E64B9">
        <w:rPr>
          <w:sz w:val="24"/>
          <w:szCs w:val="24"/>
          <w:lang w:val="en-GB"/>
        </w:rPr>
        <w:t>. They</w:t>
      </w:r>
      <w:r>
        <w:rPr>
          <w:sz w:val="24"/>
          <w:szCs w:val="24"/>
          <w:lang w:val="en-GB"/>
        </w:rPr>
        <w:t xml:space="preserve"> will be distributing </w:t>
      </w:r>
      <w:r w:rsidR="00C82E8E" w:rsidRPr="007E64B9">
        <w:rPr>
          <w:sz w:val="24"/>
          <w:szCs w:val="24"/>
          <w:lang w:val="en-GB"/>
        </w:rPr>
        <w:t xml:space="preserve">the trade fair newspaper </w:t>
      </w:r>
      <w:r w:rsidR="00C82E8E" w:rsidRPr="007E64B9">
        <w:rPr>
          <w:b/>
          <w:bCs/>
          <w:i/>
          <w:iCs/>
          <w:sz w:val="24"/>
          <w:szCs w:val="24"/>
          <w:lang w:val="en-GB"/>
        </w:rPr>
        <w:t>La Gazette</w:t>
      </w:r>
      <w:r w:rsidR="00C82E8E" w:rsidRPr="007E64B9">
        <w:rPr>
          <w:sz w:val="24"/>
          <w:szCs w:val="24"/>
          <w:lang w:val="en-GB"/>
        </w:rPr>
        <w:t xml:space="preserve"> with a smile. </w:t>
      </w:r>
      <w:r>
        <w:rPr>
          <w:sz w:val="24"/>
          <w:szCs w:val="24"/>
          <w:lang w:val="en-GB"/>
        </w:rPr>
        <w:t>This</w:t>
      </w:r>
      <w:r w:rsidR="00C82E8E" w:rsidRPr="007E64B9">
        <w:rPr>
          <w:sz w:val="24"/>
          <w:szCs w:val="24"/>
          <w:lang w:val="en-GB"/>
        </w:rPr>
        <w:t xml:space="preserve"> </w:t>
      </w:r>
      <w:r>
        <w:rPr>
          <w:sz w:val="24"/>
          <w:szCs w:val="24"/>
          <w:lang w:val="en-GB"/>
        </w:rPr>
        <w:t>summari</w:t>
      </w:r>
      <w:r w:rsidR="003637E0">
        <w:rPr>
          <w:sz w:val="24"/>
          <w:szCs w:val="24"/>
          <w:lang w:val="en-GB"/>
        </w:rPr>
        <w:t>z</w:t>
      </w:r>
      <w:r>
        <w:rPr>
          <w:sz w:val="24"/>
          <w:szCs w:val="24"/>
          <w:lang w:val="en-GB"/>
        </w:rPr>
        <w:t xml:space="preserve">es </w:t>
      </w:r>
      <w:r w:rsidR="00365AAB" w:rsidRPr="007E64B9">
        <w:rPr>
          <w:sz w:val="24"/>
          <w:szCs w:val="24"/>
          <w:lang w:val="en-GB"/>
        </w:rPr>
        <w:t xml:space="preserve">all the news </w:t>
      </w:r>
      <w:r w:rsidR="00A4509E" w:rsidRPr="007E64B9">
        <w:rPr>
          <w:sz w:val="24"/>
          <w:szCs w:val="24"/>
          <w:lang w:val="en-GB"/>
        </w:rPr>
        <w:t xml:space="preserve">and </w:t>
      </w:r>
      <w:r w:rsidR="000E620D" w:rsidRPr="007E64B9">
        <w:rPr>
          <w:sz w:val="24"/>
          <w:szCs w:val="24"/>
          <w:lang w:val="en-GB"/>
        </w:rPr>
        <w:t>helps</w:t>
      </w:r>
      <w:r w:rsidR="00A4509E" w:rsidRPr="007E64B9">
        <w:rPr>
          <w:sz w:val="24"/>
          <w:szCs w:val="24"/>
          <w:lang w:val="en-GB"/>
        </w:rPr>
        <w:t xml:space="preserve"> </w:t>
      </w:r>
      <w:r w:rsidR="000E620D" w:rsidRPr="007E64B9">
        <w:rPr>
          <w:sz w:val="24"/>
          <w:szCs w:val="24"/>
          <w:lang w:val="en-GB"/>
        </w:rPr>
        <w:t xml:space="preserve">people </w:t>
      </w:r>
      <w:r w:rsidR="00A4509E" w:rsidRPr="007E64B9">
        <w:rPr>
          <w:sz w:val="24"/>
          <w:szCs w:val="24"/>
          <w:lang w:val="en-GB"/>
        </w:rPr>
        <w:t xml:space="preserve">navigate the </w:t>
      </w:r>
      <w:r w:rsidR="00C82E8E" w:rsidRPr="007E64B9">
        <w:rPr>
          <w:sz w:val="24"/>
          <w:szCs w:val="24"/>
          <w:lang w:val="en-GB"/>
        </w:rPr>
        <w:t>halls</w:t>
      </w:r>
      <w:r w:rsidR="00CC003F" w:rsidRPr="007E64B9">
        <w:rPr>
          <w:sz w:val="24"/>
          <w:szCs w:val="24"/>
          <w:lang w:val="en-GB"/>
        </w:rPr>
        <w:t>.</w:t>
      </w:r>
      <w:r w:rsidR="00064C73" w:rsidRPr="007E64B9">
        <w:rPr>
          <w:sz w:val="24"/>
          <w:szCs w:val="24"/>
          <w:lang w:val="en-GB"/>
        </w:rPr>
        <w:t xml:space="preserve"> </w:t>
      </w:r>
      <w:r w:rsidR="00C82E8E" w:rsidRPr="007E64B9">
        <w:rPr>
          <w:sz w:val="24"/>
          <w:szCs w:val="24"/>
          <w:lang w:val="en-GB"/>
        </w:rPr>
        <w:t>Visitors are encouraged to explore the entire fair</w:t>
      </w:r>
      <w:r w:rsidR="005010A5">
        <w:rPr>
          <w:sz w:val="24"/>
          <w:szCs w:val="24"/>
          <w:lang w:val="en-GB"/>
        </w:rPr>
        <w:t xml:space="preserve">, but also to </w:t>
      </w:r>
      <w:r w:rsidR="000E620D" w:rsidRPr="007E64B9">
        <w:rPr>
          <w:sz w:val="24"/>
          <w:szCs w:val="24"/>
          <w:lang w:val="en-GB"/>
        </w:rPr>
        <w:t xml:space="preserve">relax </w:t>
      </w:r>
      <w:r w:rsidR="00C82E8E" w:rsidRPr="007E64B9">
        <w:rPr>
          <w:sz w:val="24"/>
          <w:szCs w:val="24"/>
          <w:lang w:val="en-GB"/>
        </w:rPr>
        <w:t>in the beautiful rest and dining areas</w:t>
      </w:r>
      <w:r w:rsidR="00064C73" w:rsidRPr="007E64B9">
        <w:rPr>
          <w:sz w:val="24"/>
          <w:szCs w:val="24"/>
          <w:lang w:val="en-GB"/>
        </w:rPr>
        <w:t>.</w:t>
      </w:r>
    </w:p>
    <w:p w14:paraId="4FED8F97" w14:textId="52B000D8" w:rsidR="003801E9" w:rsidRPr="007E64B9" w:rsidRDefault="00C82E8E" w:rsidP="008830E9">
      <w:pPr>
        <w:jc w:val="both"/>
        <w:rPr>
          <w:sz w:val="24"/>
          <w:szCs w:val="24"/>
          <w:lang w:val="en-GB"/>
        </w:rPr>
      </w:pPr>
      <w:r w:rsidRPr="007E64B9">
        <w:rPr>
          <w:sz w:val="24"/>
          <w:szCs w:val="24"/>
          <w:lang w:val="en-GB"/>
        </w:rPr>
        <w:t>But time is money and, of course, we don</w:t>
      </w:r>
      <w:r w:rsidR="00BA502E">
        <w:rPr>
          <w:sz w:val="24"/>
          <w:szCs w:val="24"/>
          <w:lang w:val="en-GB"/>
        </w:rPr>
        <w:t>’</w:t>
      </w:r>
      <w:r w:rsidRPr="007E64B9">
        <w:rPr>
          <w:sz w:val="24"/>
          <w:szCs w:val="24"/>
          <w:lang w:val="en-GB"/>
        </w:rPr>
        <w:t xml:space="preserve">t want to keep our visitors away from their trusted manufacturers. </w:t>
      </w:r>
      <w:r w:rsidR="000E620D" w:rsidRPr="007E64B9">
        <w:rPr>
          <w:sz w:val="24"/>
          <w:szCs w:val="24"/>
          <w:lang w:val="en-GB"/>
        </w:rPr>
        <w:t>Which is why we</w:t>
      </w:r>
      <w:r w:rsidR="00BA502E">
        <w:rPr>
          <w:sz w:val="24"/>
          <w:szCs w:val="24"/>
          <w:lang w:val="en-GB"/>
        </w:rPr>
        <w:t>’</w:t>
      </w:r>
      <w:r w:rsidR="000E620D" w:rsidRPr="007E64B9">
        <w:rPr>
          <w:sz w:val="24"/>
          <w:szCs w:val="24"/>
          <w:lang w:val="en-GB"/>
        </w:rPr>
        <w:t xml:space="preserve">re introducing </w:t>
      </w:r>
      <w:r w:rsidRPr="007E64B9">
        <w:rPr>
          <w:b/>
          <w:bCs/>
          <w:i/>
          <w:iCs/>
          <w:sz w:val="24"/>
          <w:szCs w:val="24"/>
          <w:lang w:val="en-GB"/>
        </w:rPr>
        <w:t>The Fair Express</w:t>
      </w:r>
      <w:r w:rsidRPr="007E64B9">
        <w:rPr>
          <w:sz w:val="24"/>
          <w:szCs w:val="24"/>
          <w:lang w:val="en-GB"/>
        </w:rPr>
        <w:t xml:space="preserve">, which will guide </w:t>
      </w:r>
      <w:r w:rsidR="00A4509E" w:rsidRPr="007E64B9">
        <w:rPr>
          <w:sz w:val="24"/>
          <w:szCs w:val="24"/>
          <w:lang w:val="en-GB"/>
        </w:rPr>
        <w:t xml:space="preserve">people </w:t>
      </w:r>
      <w:r w:rsidR="000E620D" w:rsidRPr="007E64B9">
        <w:rPr>
          <w:sz w:val="24"/>
          <w:szCs w:val="24"/>
          <w:lang w:val="en-GB"/>
        </w:rPr>
        <w:t xml:space="preserve">around </w:t>
      </w:r>
      <w:r w:rsidRPr="007E64B9">
        <w:rPr>
          <w:sz w:val="24"/>
          <w:szCs w:val="24"/>
          <w:lang w:val="en-GB"/>
        </w:rPr>
        <w:t>the halls</w:t>
      </w:r>
      <w:r w:rsidR="000E620D" w:rsidRPr="007E64B9">
        <w:rPr>
          <w:sz w:val="24"/>
          <w:szCs w:val="24"/>
          <w:lang w:val="en-GB"/>
        </w:rPr>
        <w:t xml:space="preserve"> in double quick time</w:t>
      </w:r>
      <w:r w:rsidR="002F6D1B">
        <w:rPr>
          <w:sz w:val="24"/>
          <w:szCs w:val="24"/>
          <w:lang w:val="en-GB"/>
        </w:rPr>
        <w:t>, in an efficient and</w:t>
      </w:r>
      <w:r w:rsidR="00A4509E" w:rsidRPr="007E64B9">
        <w:rPr>
          <w:sz w:val="24"/>
          <w:szCs w:val="24"/>
          <w:lang w:val="en-GB"/>
        </w:rPr>
        <w:t xml:space="preserve"> fun </w:t>
      </w:r>
      <w:r w:rsidRPr="007E64B9">
        <w:rPr>
          <w:sz w:val="24"/>
          <w:szCs w:val="24"/>
          <w:lang w:val="en-GB"/>
        </w:rPr>
        <w:t xml:space="preserve">way. And with our </w:t>
      </w:r>
      <w:r w:rsidR="003637E0">
        <w:rPr>
          <w:sz w:val="24"/>
          <w:szCs w:val="24"/>
          <w:lang w:val="en-GB"/>
        </w:rPr>
        <w:t>r</w:t>
      </w:r>
      <w:r w:rsidRPr="007E64B9">
        <w:rPr>
          <w:sz w:val="24"/>
          <w:szCs w:val="24"/>
          <w:lang w:val="en-GB"/>
        </w:rPr>
        <w:t>ickshaw drivers on board,</w:t>
      </w:r>
      <w:r w:rsidR="002F6D1B">
        <w:rPr>
          <w:sz w:val="24"/>
          <w:szCs w:val="24"/>
          <w:lang w:val="en-GB"/>
        </w:rPr>
        <w:t xml:space="preserve"> </w:t>
      </w:r>
      <w:r w:rsidR="002F6D1B" w:rsidRPr="002F6D1B">
        <w:rPr>
          <w:sz w:val="24"/>
          <w:szCs w:val="24"/>
          <w:lang w:val="en-GB"/>
        </w:rPr>
        <w:t xml:space="preserve">there is no shortage of </w:t>
      </w:r>
      <w:r w:rsidR="002F6D1B">
        <w:rPr>
          <w:sz w:val="24"/>
          <w:szCs w:val="24"/>
          <w:lang w:val="en-GB"/>
        </w:rPr>
        <w:t xml:space="preserve">things to </w:t>
      </w:r>
      <w:r w:rsidR="002F6D1B" w:rsidRPr="002F6D1B">
        <w:rPr>
          <w:sz w:val="24"/>
          <w:szCs w:val="24"/>
          <w:lang w:val="en-GB"/>
        </w:rPr>
        <w:t>experience</w:t>
      </w:r>
      <w:r w:rsidR="00064C73" w:rsidRPr="007E64B9">
        <w:rPr>
          <w:sz w:val="24"/>
          <w:szCs w:val="24"/>
          <w:lang w:val="en-GB"/>
        </w:rPr>
        <w:t>.</w:t>
      </w:r>
    </w:p>
    <w:p w14:paraId="52D11B8E" w14:textId="568F3EDC" w:rsidR="00C82E8E" w:rsidRPr="007E64B9" w:rsidRDefault="00C82E8E" w:rsidP="008830E9">
      <w:pPr>
        <w:jc w:val="both"/>
        <w:rPr>
          <w:b/>
          <w:bCs/>
          <w:sz w:val="24"/>
          <w:szCs w:val="24"/>
          <w:lang w:val="en-GB"/>
        </w:rPr>
      </w:pPr>
      <w:r w:rsidRPr="007E64B9">
        <w:rPr>
          <w:b/>
          <w:bCs/>
          <w:sz w:val="24"/>
          <w:szCs w:val="24"/>
          <w:lang w:val="en-GB"/>
        </w:rPr>
        <w:t xml:space="preserve">Brussels Furniture Fair 2024 in </w:t>
      </w:r>
      <w:r w:rsidR="00F75BC9">
        <w:rPr>
          <w:b/>
          <w:bCs/>
          <w:sz w:val="24"/>
          <w:szCs w:val="24"/>
          <w:lang w:val="en-GB"/>
        </w:rPr>
        <w:t>f</w:t>
      </w:r>
      <w:r w:rsidRPr="007E64B9">
        <w:rPr>
          <w:b/>
          <w:bCs/>
          <w:sz w:val="24"/>
          <w:szCs w:val="24"/>
          <w:lang w:val="en-GB"/>
        </w:rPr>
        <w:t>igures</w:t>
      </w:r>
    </w:p>
    <w:p w14:paraId="4C43077F" w14:textId="3D1872EB" w:rsidR="007608AB" w:rsidRPr="007E64B9" w:rsidRDefault="002F6D1B" w:rsidP="008830E9">
      <w:pPr>
        <w:jc w:val="both"/>
        <w:rPr>
          <w:sz w:val="24"/>
          <w:szCs w:val="24"/>
          <w:lang w:val="en-GB"/>
        </w:rPr>
      </w:pPr>
      <w:r>
        <w:rPr>
          <w:sz w:val="24"/>
          <w:szCs w:val="24"/>
          <w:lang w:val="en-GB"/>
        </w:rPr>
        <w:t xml:space="preserve">The </w:t>
      </w:r>
      <w:r w:rsidR="00C82E8E" w:rsidRPr="007E64B9">
        <w:rPr>
          <w:sz w:val="24"/>
          <w:szCs w:val="24"/>
          <w:lang w:val="en-GB"/>
        </w:rPr>
        <w:t>table below</w:t>
      </w:r>
      <w:r>
        <w:rPr>
          <w:sz w:val="24"/>
          <w:szCs w:val="24"/>
          <w:lang w:val="en-GB"/>
        </w:rPr>
        <w:t xml:space="preserve"> clearly demonstrates that</w:t>
      </w:r>
      <w:r w:rsidR="000E620D" w:rsidRPr="007E64B9">
        <w:rPr>
          <w:sz w:val="24"/>
          <w:szCs w:val="24"/>
          <w:lang w:val="en-GB"/>
        </w:rPr>
        <w:t xml:space="preserve"> </w:t>
      </w:r>
      <w:r w:rsidR="00C82E8E" w:rsidRPr="007E64B9">
        <w:rPr>
          <w:sz w:val="24"/>
          <w:szCs w:val="24"/>
          <w:lang w:val="en-GB"/>
        </w:rPr>
        <w:t xml:space="preserve">manufacturers from the Netherlands are </w:t>
      </w:r>
      <w:r w:rsidR="000E620D" w:rsidRPr="007E64B9">
        <w:rPr>
          <w:sz w:val="24"/>
          <w:szCs w:val="24"/>
          <w:lang w:val="en-GB"/>
        </w:rPr>
        <w:t xml:space="preserve">just as </w:t>
      </w:r>
      <w:r>
        <w:rPr>
          <w:sz w:val="24"/>
          <w:szCs w:val="24"/>
          <w:lang w:val="en-GB"/>
        </w:rPr>
        <w:t xml:space="preserve">prolific </w:t>
      </w:r>
      <w:r w:rsidR="00C82E8E" w:rsidRPr="007E64B9">
        <w:rPr>
          <w:sz w:val="24"/>
          <w:szCs w:val="24"/>
          <w:lang w:val="en-GB"/>
        </w:rPr>
        <w:t xml:space="preserve">this year, to the extent that there is almost no difference between the number </w:t>
      </w:r>
      <w:r w:rsidR="00C82E8E" w:rsidRPr="007E64B9">
        <w:rPr>
          <w:sz w:val="24"/>
          <w:szCs w:val="24"/>
          <w:lang w:val="en-GB"/>
        </w:rPr>
        <w:lastRenderedPageBreak/>
        <w:t>of Dutch and Belgian brands</w:t>
      </w:r>
      <w:r w:rsidR="007608AB" w:rsidRPr="007E64B9">
        <w:rPr>
          <w:sz w:val="24"/>
          <w:szCs w:val="24"/>
          <w:lang w:val="en-GB"/>
        </w:rPr>
        <w:t xml:space="preserve">. </w:t>
      </w:r>
      <w:r w:rsidR="00C82E8E" w:rsidRPr="007E64B9">
        <w:rPr>
          <w:sz w:val="24"/>
          <w:szCs w:val="24"/>
          <w:lang w:val="en-GB"/>
        </w:rPr>
        <w:t xml:space="preserve">This </w:t>
      </w:r>
      <w:r w:rsidR="000E620D" w:rsidRPr="007E64B9">
        <w:rPr>
          <w:sz w:val="24"/>
          <w:szCs w:val="24"/>
          <w:lang w:val="en-GB"/>
        </w:rPr>
        <w:t xml:space="preserve">is most </w:t>
      </w:r>
      <w:r>
        <w:rPr>
          <w:sz w:val="24"/>
          <w:szCs w:val="24"/>
          <w:lang w:val="en-GB"/>
        </w:rPr>
        <w:t xml:space="preserve">evident </w:t>
      </w:r>
      <w:r w:rsidR="000E620D" w:rsidRPr="007E64B9">
        <w:rPr>
          <w:sz w:val="24"/>
          <w:szCs w:val="24"/>
          <w:lang w:val="en-GB"/>
        </w:rPr>
        <w:t xml:space="preserve">in </w:t>
      </w:r>
      <w:r w:rsidR="00C82E8E" w:rsidRPr="007E64B9">
        <w:rPr>
          <w:sz w:val="24"/>
          <w:szCs w:val="24"/>
          <w:lang w:val="en-GB"/>
        </w:rPr>
        <w:t xml:space="preserve">Brussels </w:t>
      </w:r>
      <w:r w:rsidR="003637E0">
        <w:rPr>
          <w:sz w:val="24"/>
          <w:szCs w:val="24"/>
          <w:lang w:val="en-GB"/>
        </w:rPr>
        <w:t>b</w:t>
      </w:r>
      <w:r w:rsidR="00C82E8E" w:rsidRPr="007E64B9">
        <w:rPr>
          <w:sz w:val="24"/>
          <w:szCs w:val="24"/>
          <w:lang w:val="en-GB"/>
        </w:rPr>
        <w:t>y Night (</w:t>
      </w:r>
      <w:r w:rsidR="00105B28">
        <w:rPr>
          <w:sz w:val="24"/>
          <w:szCs w:val="24"/>
          <w:lang w:val="en-GB"/>
        </w:rPr>
        <w:t>h</w:t>
      </w:r>
      <w:r w:rsidR="00C82E8E" w:rsidRPr="007E64B9">
        <w:rPr>
          <w:sz w:val="24"/>
          <w:szCs w:val="24"/>
          <w:lang w:val="en-GB"/>
        </w:rPr>
        <w:t>all 6)</w:t>
      </w:r>
      <w:r w:rsidR="000E620D" w:rsidRPr="007E64B9">
        <w:rPr>
          <w:sz w:val="24"/>
          <w:szCs w:val="24"/>
          <w:lang w:val="en-GB"/>
        </w:rPr>
        <w:t xml:space="preserve">; </w:t>
      </w:r>
      <w:r w:rsidR="00C82E8E" w:rsidRPr="007E64B9">
        <w:rPr>
          <w:sz w:val="24"/>
          <w:szCs w:val="24"/>
          <w:lang w:val="en-GB"/>
        </w:rPr>
        <w:t xml:space="preserve">in </w:t>
      </w:r>
      <w:r w:rsidR="00105B28">
        <w:rPr>
          <w:sz w:val="24"/>
          <w:szCs w:val="24"/>
          <w:lang w:val="en-GB"/>
        </w:rPr>
        <w:t>h</w:t>
      </w:r>
      <w:r w:rsidR="00C82E8E" w:rsidRPr="007E64B9">
        <w:rPr>
          <w:sz w:val="24"/>
          <w:szCs w:val="24"/>
          <w:lang w:val="en-GB"/>
        </w:rPr>
        <w:t xml:space="preserve">all 8, </w:t>
      </w:r>
      <w:r>
        <w:rPr>
          <w:sz w:val="24"/>
          <w:szCs w:val="24"/>
          <w:lang w:val="en-GB"/>
        </w:rPr>
        <w:t xml:space="preserve">which is </w:t>
      </w:r>
      <w:r w:rsidR="00C82E8E" w:rsidRPr="007E64B9">
        <w:rPr>
          <w:sz w:val="24"/>
          <w:szCs w:val="24"/>
          <w:lang w:val="en-GB"/>
        </w:rPr>
        <w:t>known for its charming and atmospheric collections</w:t>
      </w:r>
      <w:r w:rsidR="000E620D" w:rsidRPr="007E64B9">
        <w:rPr>
          <w:sz w:val="24"/>
          <w:szCs w:val="24"/>
          <w:lang w:val="en-GB"/>
        </w:rPr>
        <w:t>;</w:t>
      </w:r>
      <w:r w:rsidR="00C82E8E" w:rsidRPr="007E64B9">
        <w:rPr>
          <w:sz w:val="24"/>
          <w:szCs w:val="24"/>
          <w:lang w:val="en-GB"/>
        </w:rPr>
        <w:t xml:space="preserve"> and</w:t>
      </w:r>
      <w:r w:rsidR="003637E0">
        <w:rPr>
          <w:sz w:val="24"/>
          <w:szCs w:val="24"/>
          <w:lang w:val="en-GB"/>
        </w:rPr>
        <w:t>, of course,</w:t>
      </w:r>
      <w:r w:rsidR="00C82E8E" w:rsidRPr="007E64B9">
        <w:rPr>
          <w:sz w:val="24"/>
          <w:szCs w:val="24"/>
          <w:lang w:val="en-GB"/>
        </w:rPr>
        <w:t xml:space="preserve"> </w:t>
      </w:r>
      <w:r w:rsidR="002456BD">
        <w:rPr>
          <w:sz w:val="24"/>
          <w:szCs w:val="24"/>
          <w:lang w:val="en-GB"/>
        </w:rPr>
        <w:t>in</w:t>
      </w:r>
      <w:r w:rsidR="00C82E8E" w:rsidRPr="007E64B9">
        <w:rPr>
          <w:sz w:val="24"/>
          <w:szCs w:val="24"/>
          <w:lang w:val="en-GB"/>
        </w:rPr>
        <w:t xml:space="preserve"> </w:t>
      </w:r>
      <w:r w:rsidR="00BA502E">
        <w:rPr>
          <w:sz w:val="24"/>
          <w:szCs w:val="24"/>
          <w:lang w:val="en-GB"/>
        </w:rPr>
        <w:t>‘</w:t>
      </w:r>
      <w:r w:rsidR="00C82E8E" w:rsidRPr="007E64B9">
        <w:rPr>
          <w:sz w:val="24"/>
          <w:szCs w:val="24"/>
          <w:lang w:val="en-GB"/>
        </w:rPr>
        <w:t>Holland à la Carte</w:t>
      </w:r>
      <w:r w:rsidR="00BA502E">
        <w:rPr>
          <w:sz w:val="24"/>
          <w:szCs w:val="24"/>
          <w:lang w:val="en-GB"/>
        </w:rPr>
        <w:t>’</w:t>
      </w:r>
      <w:r w:rsidR="00C82E8E" w:rsidRPr="007E64B9">
        <w:rPr>
          <w:sz w:val="24"/>
          <w:szCs w:val="24"/>
          <w:lang w:val="en-GB"/>
        </w:rPr>
        <w:t xml:space="preserve">, in the Patio, the small hall </w:t>
      </w:r>
      <w:r w:rsidR="000E620D" w:rsidRPr="007E64B9">
        <w:rPr>
          <w:sz w:val="24"/>
          <w:szCs w:val="24"/>
          <w:lang w:val="en-GB"/>
        </w:rPr>
        <w:t xml:space="preserve">dedicated to </w:t>
      </w:r>
      <w:r w:rsidR="00365AAB" w:rsidRPr="007E64B9">
        <w:rPr>
          <w:sz w:val="24"/>
          <w:szCs w:val="24"/>
          <w:lang w:val="en-GB"/>
        </w:rPr>
        <w:t xml:space="preserve">leading </w:t>
      </w:r>
      <w:r w:rsidR="00C82E8E" w:rsidRPr="007E64B9">
        <w:rPr>
          <w:sz w:val="24"/>
          <w:szCs w:val="24"/>
          <w:lang w:val="en-GB"/>
        </w:rPr>
        <w:t>Dutch brands</w:t>
      </w:r>
      <w:r w:rsidR="007608AB" w:rsidRPr="007E64B9">
        <w:rPr>
          <w:sz w:val="24"/>
          <w:szCs w:val="24"/>
          <w:lang w:val="en-GB"/>
        </w:rPr>
        <w:t xml:space="preserve">. </w:t>
      </w:r>
    </w:p>
    <w:p w14:paraId="45A553C1" w14:textId="77777777" w:rsidR="007608AB" w:rsidRPr="007E64B9" w:rsidRDefault="007608AB" w:rsidP="008830E9">
      <w:pPr>
        <w:jc w:val="both"/>
        <w:rPr>
          <w:b/>
          <w:bCs/>
          <w:sz w:val="24"/>
          <w:szCs w:val="24"/>
          <w:lang w:val="en-GB"/>
        </w:rPr>
      </w:pPr>
    </w:p>
    <w:tbl>
      <w:tblPr>
        <w:tblW w:w="6040" w:type="dxa"/>
        <w:jc w:val="center"/>
        <w:tblCellMar>
          <w:left w:w="70" w:type="dxa"/>
          <w:right w:w="70" w:type="dxa"/>
        </w:tblCellMar>
        <w:tblLook w:val="04A0" w:firstRow="1" w:lastRow="0" w:firstColumn="1" w:lastColumn="0" w:noHBand="0" w:noVBand="1"/>
      </w:tblPr>
      <w:tblGrid>
        <w:gridCol w:w="2566"/>
        <w:gridCol w:w="3474"/>
      </w:tblGrid>
      <w:tr w:rsidR="00C56D1C" w:rsidRPr="00EC62A2" w14:paraId="33D9A1F8" w14:textId="77777777" w:rsidTr="007608AB">
        <w:trPr>
          <w:trHeight w:val="315"/>
          <w:jc w:val="center"/>
        </w:trPr>
        <w:tc>
          <w:tcPr>
            <w:tcW w:w="60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D20369" w14:textId="2006BA84" w:rsidR="00C56D1C" w:rsidRPr="007E64B9" w:rsidRDefault="00C56D1C" w:rsidP="008830E9">
            <w:pPr>
              <w:spacing w:after="0" w:line="240" w:lineRule="auto"/>
              <w:jc w:val="both"/>
              <w:rPr>
                <w:rFonts w:eastAsia="Times New Roman" w:cs="Times New Roman"/>
                <w:b/>
                <w:bCs/>
                <w:color w:val="000000"/>
                <w:sz w:val="24"/>
                <w:szCs w:val="24"/>
                <w:lang w:val="en-GB" w:eastAsia="fr-BE"/>
              </w:rPr>
            </w:pPr>
            <w:r w:rsidRPr="007E64B9">
              <w:rPr>
                <w:rFonts w:eastAsia="Times New Roman" w:cs="Times New Roman"/>
                <w:b/>
                <w:bCs/>
                <w:color w:val="000000"/>
                <w:sz w:val="24"/>
                <w:szCs w:val="24"/>
                <w:lang w:val="en-GB" w:eastAsia="fr-BE"/>
              </w:rPr>
              <w:t xml:space="preserve">2024 </w:t>
            </w:r>
            <w:r w:rsidR="007C4174" w:rsidRPr="007E64B9">
              <w:rPr>
                <w:rFonts w:eastAsia="Times New Roman" w:cs="Times New Roman"/>
                <w:b/>
                <w:bCs/>
                <w:color w:val="000000"/>
                <w:sz w:val="24"/>
                <w:szCs w:val="24"/>
                <w:lang w:val="en-GB" w:eastAsia="fr-BE"/>
              </w:rPr>
              <w:t>–</w:t>
            </w:r>
            <w:r w:rsidRPr="007E64B9">
              <w:rPr>
                <w:rFonts w:eastAsia="Times New Roman" w:cs="Times New Roman"/>
                <w:b/>
                <w:bCs/>
                <w:color w:val="000000"/>
                <w:sz w:val="24"/>
                <w:szCs w:val="24"/>
                <w:lang w:val="en-GB" w:eastAsia="fr-BE"/>
              </w:rPr>
              <w:t xml:space="preserve"> </w:t>
            </w:r>
            <w:r w:rsidR="00C82E8E" w:rsidRPr="007E64B9">
              <w:rPr>
                <w:rFonts w:eastAsia="Times New Roman" w:cs="Times New Roman"/>
                <w:b/>
                <w:bCs/>
                <w:color w:val="000000"/>
                <w:sz w:val="24"/>
                <w:szCs w:val="24"/>
                <w:lang w:val="en-GB" w:eastAsia="fr-BE"/>
              </w:rPr>
              <w:t>Brands presented at the Brussels Furniture Fair</w:t>
            </w:r>
          </w:p>
        </w:tc>
      </w:tr>
      <w:tr w:rsidR="00C56D1C" w:rsidRPr="007E64B9" w14:paraId="67746EB7" w14:textId="77777777" w:rsidTr="007608AB">
        <w:trPr>
          <w:trHeight w:val="300"/>
          <w:jc w:val="center"/>
        </w:trPr>
        <w:tc>
          <w:tcPr>
            <w:tcW w:w="2566" w:type="dxa"/>
            <w:tcBorders>
              <w:top w:val="nil"/>
              <w:left w:val="single" w:sz="4" w:space="0" w:color="auto"/>
              <w:bottom w:val="single" w:sz="4" w:space="0" w:color="auto"/>
              <w:right w:val="single" w:sz="4" w:space="0" w:color="auto"/>
            </w:tcBorders>
            <w:shd w:val="clear" w:color="auto" w:fill="auto"/>
            <w:noWrap/>
            <w:vAlign w:val="center"/>
            <w:hideMark/>
          </w:tcPr>
          <w:p w14:paraId="3F27843B" w14:textId="0A17F080" w:rsidR="00C56D1C" w:rsidRPr="007E64B9" w:rsidRDefault="00B70B17" w:rsidP="008830E9">
            <w:pPr>
              <w:spacing w:after="0" w:line="240" w:lineRule="auto"/>
              <w:jc w:val="both"/>
              <w:rPr>
                <w:rFonts w:eastAsia="Times New Roman" w:cs="Times New Roman"/>
                <w:i/>
                <w:iCs/>
                <w:color w:val="000000"/>
                <w:sz w:val="24"/>
                <w:szCs w:val="24"/>
                <w:lang w:val="en-GB" w:eastAsia="fr-BE"/>
              </w:rPr>
            </w:pPr>
            <w:r>
              <w:rPr>
                <w:rFonts w:eastAsia="Times New Roman" w:cs="Times New Roman"/>
                <w:i/>
                <w:iCs/>
                <w:color w:val="000000"/>
                <w:sz w:val="24"/>
                <w:szCs w:val="24"/>
                <w:lang w:val="en-GB" w:eastAsia="fr-BE"/>
              </w:rPr>
              <w:t>Country</w:t>
            </w:r>
          </w:p>
        </w:tc>
        <w:tc>
          <w:tcPr>
            <w:tcW w:w="3474" w:type="dxa"/>
            <w:tcBorders>
              <w:top w:val="nil"/>
              <w:left w:val="nil"/>
              <w:bottom w:val="single" w:sz="4" w:space="0" w:color="auto"/>
              <w:right w:val="single" w:sz="4" w:space="0" w:color="auto"/>
            </w:tcBorders>
            <w:shd w:val="clear" w:color="auto" w:fill="auto"/>
            <w:noWrap/>
            <w:vAlign w:val="center"/>
            <w:hideMark/>
          </w:tcPr>
          <w:p w14:paraId="6A089CCE" w14:textId="36EC9333" w:rsidR="00C56D1C" w:rsidRPr="007E64B9" w:rsidRDefault="00C56D1C" w:rsidP="008830E9">
            <w:pPr>
              <w:spacing w:after="0" w:line="240" w:lineRule="auto"/>
              <w:jc w:val="both"/>
              <w:rPr>
                <w:rFonts w:eastAsia="Times New Roman" w:cs="Times New Roman"/>
                <w:i/>
                <w:iCs/>
                <w:color w:val="000000"/>
                <w:sz w:val="24"/>
                <w:szCs w:val="24"/>
                <w:lang w:val="en-GB" w:eastAsia="fr-BE"/>
              </w:rPr>
            </w:pPr>
            <w:r w:rsidRPr="007E64B9">
              <w:rPr>
                <w:rFonts w:eastAsia="Times New Roman" w:cs="Times New Roman"/>
                <w:i/>
                <w:iCs/>
                <w:color w:val="000000"/>
                <w:sz w:val="24"/>
                <w:szCs w:val="24"/>
                <w:lang w:val="en-GB" w:eastAsia="fr-BE"/>
              </w:rPr>
              <w:t xml:space="preserve"># </w:t>
            </w:r>
            <w:r w:rsidR="00C82E8E" w:rsidRPr="007E64B9">
              <w:rPr>
                <w:rFonts w:eastAsia="Times New Roman" w:cs="Times New Roman"/>
                <w:i/>
                <w:iCs/>
                <w:color w:val="000000"/>
                <w:sz w:val="24"/>
                <w:szCs w:val="24"/>
                <w:lang w:val="en-GB" w:eastAsia="fr-BE"/>
              </w:rPr>
              <w:t>brands present</w:t>
            </w:r>
          </w:p>
        </w:tc>
      </w:tr>
      <w:tr w:rsidR="00C56D1C" w:rsidRPr="007E64B9" w14:paraId="1AA3563A" w14:textId="77777777" w:rsidTr="007608AB">
        <w:trPr>
          <w:trHeight w:val="300"/>
          <w:jc w:val="center"/>
        </w:trPr>
        <w:tc>
          <w:tcPr>
            <w:tcW w:w="2566" w:type="dxa"/>
            <w:tcBorders>
              <w:top w:val="nil"/>
              <w:left w:val="single" w:sz="4" w:space="0" w:color="auto"/>
              <w:bottom w:val="single" w:sz="4" w:space="0" w:color="auto"/>
              <w:right w:val="single" w:sz="4" w:space="0" w:color="auto"/>
            </w:tcBorders>
            <w:shd w:val="clear" w:color="auto" w:fill="auto"/>
            <w:noWrap/>
            <w:vAlign w:val="bottom"/>
            <w:hideMark/>
          </w:tcPr>
          <w:p w14:paraId="78C84130" w14:textId="5DCFE2B6" w:rsidR="00C56D1C" w:rsidRPr="007E64B9" w:rsidRDefault="00C82E8E"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Belgium</w:t>
            </w:r>
          </w:p>
        </w:tc>
        <w:tc>
          <w:tcPr>
            <w:tcW w:w="3474" w:type="dxa"/>
            <w:tcBorders>
              <w:top w:val="nil"/>
              <w:left w:val="nil"/>
              <w:bottom w:val="single" w:sz="4" w:space="0" w:color="auto"/>
              <w:right w:val="single" w:sz="4" w:space="0" w:color="auto"/>
            </w:tcBorders>
            <w:shd w:val="clear" w:color="auto" w:fill="auto"/>
            <w:noWrap/>
            <w:vAlign w:val="bottom"/>
            <w:hideMark/>
          </w:tcPr>
          <w:p w14:paraId="3579BF0E" w14:textId="77777777" w:rsidR="00C56D1C" w:rsidRPr="007E64B9" w:rsidRDefault="00C56D1C"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81</w:t>
            </w:r>
          </w:p>
        </w:tc>
      </w:tr>
      <w:tr w:rsidR="00C56D1C" w:rsidRPr="007E64B9" w14:paraId="7207520A" w14:textId="77777777" w:rsidTr="007608AB">
        <w:trPr>
          <w:trHeight w:val="300"/>
          <w:jc w:val="center"/>
        </w:trPr>
        <w:tc>
          <w:tcPr>
            <w:tcW w:w="2566" w:type="dxa"/>
            <w:tcBorders>
              <w:top w:val="nil"/>
              <w:left w:val="single" w:sz="4" w:space="0" w:color="auto"/>
              <w:bottom w:val="single" w:sz="4" w:space="0" w:color="auto"/>
              <w:right w:val="single" w:sz="4" w:space="0" w:color="auto"/>
            </w:tcBorders>
            <w:shd w:val="clear" w:color="000000" w:fill="F2F2F2"/>
            <w:noWrap/>
            <w:vAlign w:val="bottom"/>
            <w:hideMark/>
          </w:tcPr>
          <w:p w14:paraId="072FB642" w14:textId="79292887" w:rsidR="00C56D1C" w:rsidRPr="007E64B9" w:rsidRDefault="00C82E8E"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Netherlands</w:t>
            </w:r>
          </w:p>
        </w:tc>
        <w:tc>
          <w:tcPr>
            <w:tcW w:w="3474" w:type="dxa"/>
            <w:tcBorders>
              <w:top w:val="nil"/>
              <w:left w:val="nil"/>
              <w:bottom w:val="single" w:sz="4" w:space="0" w:color="auto"/>
              <w:right w:val="single" w:sz="4" w:space="0" w:color="auto"/>
            </w:tcBorders>
            <w:shd w:val="clear" w:color="000000" w:fill="F2F2F2"/>
            <w:noWrap/>
            <w:vAlign w:val="bottom"/>
            <w:hideMark/>
          </w:tcPr>
          <w:p w14:paraId="4C6FA485" w14:textId="77777777" w:rsidR="00C56D1C" w:rsidRPr="007E64B9" w:rsidRDefault="00C56D1C"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70</w:t>
            </w:r>
          </w:p>
        </w:tc>
      </w:tr>
      <w:tr w:rsidR="00C56D1C" w:rsidRPr="007E64B9" w14:paraId="680DDCE0" w14:textId="77777777" w:rsidTr="007608AB">
        <w:trPr>
          <w:trHeight w:val="300"/>
          <w:jc w:val="center"/>
        </w:trPr>
        <w:tc>
          <w:tcPr>
            <w:tcW w:w="2566" w:type="dxa"/>
            <w:tcBorders>
              <w:top w:val="nil"/>
              <w:left w:val="single" w:sz="4" w:space="0" w:color="auto"/>
              <w:bottom w:val="single" w:sz="4" w:space="0" w:color="auto"/>
              <w:right w:val="single" w:sz="4" w:space="0" w:color="auto"/>
            </w:tcBorders>
            <w:shd w:val="clear" w:color="auto" w:fill="auto"/>
            <w:noWrap/>
            <w:vAlign w:val="bottom"/>
            <w:hideMark/>
          </w:tcPr>
          <w:p w14:paraId="1DE32DAA" w14:textId="2CFF899F" w:rsidR="00C56D1C" w:rsidRPr="007E64B9" w:rsidRDefault="00C82E8E"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Germany</w:t>
            </w:r>
          </w:p>
        </w:tc>
        <w:tc>
          <w:tcPr>
            <w:tcW w:w="3474" w:type="dxa"/>
            <w:tcBorders>
              <w:top w:val="nil"/>
              <w:left w:val="nil"/>
              <w:bottom w:val="single" w:sz="4" w:space="0" w:color="auto"/>
              <w:right w:val="single" w:sz="4" w:space="0" w:color="auto"/>
            </w:tcBorders>
            <w:shd w:val="clear" w:color="auto" w:fill="auto"/>
            <w:noWrap/>
            <w:vAlign w:val="bottom"/>
            <w:hideMark/>
          </w:tcPr>
          <w:p w14:paraId="2F5B991E" w14:textId="77777777" w:rsidR="00C56D1C" w:rsidRPr="007E64B9" w:rsidRDefault="00C56D1C"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13</w:t>
            </w:r>
          </w:p>
        </w:tc>
      </w:tr>
      <w:tr w:rsidR="00C56D1C" w:rsidRPr="007E64B9" w14:paraId="28E30AAC" w14:textId="77777777" w:rsidTr="007608AB">
        <w:trPr>
          <w:trHeight w:val="300"/>
          <w:jc w:val="center"/>
        </w:trPr>
        <w:tc>
          <w:tcPr>
            <w:tcW w:w="2566" w:type="dxa"/>
            <w:tcBorders>
              <w:top w:val="nil"/>
              <w:left w:val="single" w:sz="4" w:space="0" w:color="auto"/>
              <w:bottom w:val="single" w:sz="4" w:space="0" w:color="auto"/>
              <w:right w:val="single" w:sz="4" w:space="0" w:color="auto"/>
            </w:tcBorders>
            <w:shd w:val="clear" w:color="000000" w:fill="F2F2F2"/>
            <w:noWrap/>
            <w:vAlign w:val="bottom"/>
            <w:hideMark/>
          </w:tcPr>
          <w:p w14:paraId="76DF7A6D" w14:textId="3D2E5AE1" w:rsidR="00C56D1C" w:rsidRPr="007E64B9" w:rsidRDefault="00C56D1C"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Pol</w:t>
            </w:r>
            <w:r w:rsidR="00C82E8E" w:rsidRPr="007E64B9">
              <w:rPr>
                <w:rFonts w:eastAsia="Times New Roman" w:cs="Times New Roman"/>
                <w:color w:val="000000"/>
                <w:sz w:val="24"/>
                <w:szCs w:val="24"/>
                <w:lang w:val="en-GB" w:eastAsia="fr-BE"/>
              </w:rPr>
              <w:t>and</w:t>
            </w:r>
          </w:p>
        </w:tc>
        <w:tc>
          <w:tcPr>
            <w:tcW w:w="3474" w:type="dxa"/>
            <w:tcBorders>
              <w:top w:val="nil"/>
              <w:left w:val="nil"/>
              <w:bottom w:val="single" w:sz="4" w:space="0" w:color="auto"/>
              <w:right w:val="single" w:sz="4" w:space="0" w:color="auto"/>
            </w:tcBorders>
            <w:shd w:val="clear" w:color="000000" w:fill="F2F2F2"/>
            <w:noWrap/>
            <w:vAlign w:val="bottom"/>
            <w:hideMark/>
          </w:tcPr>
          <w:p w14:paraId="7668ADDE" w14:textId="77777777" w:rsidR="00C56D1C" w:rsidRPr="007E64B9" w:rsidRDefault="00C56D1C"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10</w:t>
            </w:r>
          </w:p>
        </w:tc>
      </w:tr>
      <w:tr w:rsidR="00C56D1C" w:rsidRPr="007E64B9" w14:paraId="069356D8" w14:textId="77777777" w:rsidTr="007608AB">
        <w:trPr>
          <w:trHeight w:val="300"/>
          <w:jc w:val="center"/>
        </w:trPr>
        <w:tc>
          <w:tcPr>
            <w:tcW w:w="2566" w:type="dxa"/>
            <w:tcBorders>
              <w:top w:val="nil"/>
              <w:left w:val="single" w:sz="4" w:space="0" w:color="auto"/>
              <w:bottom w:val="single" w:sz="4" w:space="0" w:color="auto"/>
              <w:right w:val="single" w:sz="4" w:space="0" w:color="auto"/>
            </w:tcBorders>
            <w:shd w:val="clear" w:color="auto" w:fill="auto"/>
            <w:noWrap/>
            <w:vAlign w:val="bottom"/>
            <w:hideMark/>
          </w:tcPr>
          <w:p w14:paraId="291D270D" w14:textId="4F7C83E8" w:rsidR="00C56D1C" w:rsidRPr="007E64B9" w:rsidRDefault="00C82E8E"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Ukraine</w:t>
            </w:r>
          </w:p>
        </w:tc>
        <w:tc>
          <w:tcPr>
            <w:tcW w:w="3474" w:type="dxa"/>
            <w:tcBorders>
              <w:top w:val="nil"/>
              <w:left w:val="nil"/>
              <w:bottom w:val="single" w:sz="4" w:space="0" w:color="auto"/>
              <w:right w:val="single" w:sz="4" w:space="0" w:color="auto"/>
            </w:tcBorders>
            <w:shd w:val="clear" w:color="auto" w:fill="auto"/>
            <w:noWrap/>
            <w:vAlign w:val="bottom"/>
            <w:hideMark/>
          </w:tcPr>
          <w:p w14:paraId="5E6FEAE6" w14:textId="77777777" w:rsidR="00C56D1C" w:rsidRPr="007E64B9" w:rsidRDefault="00C56D1C"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10</w:t>
            </w:r>
          </w:p>
        </w:tc>
      </w:tr>
      <w:tr w:rsidR="00C56D1C" w:rsidRPr="007E64B9" w14:paraId="202A2DE7" w14:textId="77777777" w:rsidTr="007608AB">
        <w:trPr>
          <w:trHeight w:val="300"/>
          <w:jc w:val="center"/>
        </w:trPr>
        <w:tc>
          <w:tcPr>
            <w:tcW w:w="2566" w:type="dxa"/>
            <w:tcBorders>
              <w:top w:val="nil"/>
              <w:left w:val="single" w:sz="4" w:space="0" w:color="auto"/>
              <w:bottom w:val="single" w:sz="4" w:space="0" w:color="auto"/>
              <w:right w:val="single" w:sz="4" w:space="0" w:color="auto"/>
            </w:tcBorders>
            <w:shd w:val="clear" w:color="000000" w:fill="F2F2F2"/>
            <w:noWrap/>
            <w:vAlign w:val="bottom"/>
            <w:hideMark/>
          </w:tcPr>
          <w:p w14:paraId="5D77556A" w14:textId="77DA7C6B" w:rsidR="00C56D1C" w:rsidRPr="007E64B9" w:rsidRDefault="007C4174"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Fran</w:t>
            </w:r>
            <w:r w:rsidR="00C82E8E" w:rsidRPr="007E64B9">
              <w:rPr>
                <w:rFonts w:eastAsia="Times New Roman" w:cs="Times New Roman"/>
                <w:color w:val="000000"/>
                <w:sz w:val="24"/>
                <w:szCs w:val="24"/>
                <w:lang w:val="en-GB" w:eastAsia="fr-BE"/>
              </w:rPr>
              <w:t>ce</w:t>
            </w:r>
          </w:p>
        </w:tc>
        <w:tc>
          <w:tcPr>
            <w:tcW w:w="3474" w:type="dxa"/>
            <w:tcBorders>
              <w:top w:val="nil"/>
              <w:left w:val="nil"/>
              <w:bottom w:val="single" w:sz="4" w:space="0" w:color="auto"/>
              <w:right w:val="single" w:sz="4" w:space="0" w:color="auto"/>
            </w:tcBorders>
            <w:shd w:val="clear" w:color="000000" w:fill="F2F2F2"/>
            <w:noWrap/>
            <w:vAlign w:val="bottom"/>
            <w:hideMark/>
          </w:tcPr>
          <w:p w14:paraId="46149F25" w14:textId="77777777" w:rsidR="00C56D1C" w:rsidRPr="007E64B9" w:rsidRDefault="00C56D1C"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8</w:t>
            </w:r>
          </w:p>
        </w:tc>
      </w:tr>
      <w:tr w:rsidR="00C56D1C" w:rsidRPr="007E64B9" w14:paraId="712BC436" w14:textId="77777777" w:rsidTr="007608AB">
        <w:trPr>
          <w:trHeight w:val="300"/>
          <w:jc w:val="center"/>
        </w:trPr>
        <w:tc>
          <w:tcPr>
            <w:tcW w:w="2566" w:type="dxa"/>
            <w:tcBorders>
              <w:top w:val="nil"/>
              <w:left w:val="single" w:sz="4" w:space="0" w:color="auto"/>
              <w:bottom w:val="single" w:sz="4" w:space="0" w:color="auto"/>
              <w:right w:val="single" w:sz="4" w:space="0" w:color="auto"/>
            </w:tcBorders>
            <w:shd w:val="clear" w:color="auto" w:fill="auto"/>
            <w:noWrap/>
            <w:vAlign w:val="bottom"/>
            <w:hideMark/>
          </w:tcPr>
          <w:p w14:paraId="0D2FBA22" w14:textId="13D99A76" w:rsidR="00C56D1C" w:rsidRPr="007E64B9" w:rsidRDefault="00C82E8E"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Lithuania</w:t>
            </w:r>
          </w:p>
        </w:tc>
        <w:tc>
          <w:tcPr>
            <w:tcW w:w="3474" w:type="dxa"/>
            <w:tcBorders>
              <w:top w:val="nil"/>
              <w:left w:val="nil"/>
              <w:bottom w:val="single" w:sz="4" w:space="0" w:color="auto"/>
              <w:right w:val="single" w:sz="4" w:space="0" w:color="auto"/>
            </w:tcBorders>
            <w:shd w:val="clear" w:color="auto" w:fill="auto"/>
            <w:noWrap/>
            <w:vAlign w:val="bottom"/>
            <w:hideMark/>
          </w:tcPr>
          <w:p w14:paraId="7B045B34" w14:textId="77777777" w:rsidR="00C56D1C" w:rsidRPr="007E64B9" w:rsidRDefault="00C56D1C"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6</w:t>
            </w:r>
          </w:p>
        </w:tc>
      </w:tr>
      <w:tr w:rsidR="00C56D1C" w:rsidRPr="007E64B9" w14:paraId="5B710C9F" w14:textId="77777777" w:rsidTr="007608AB">
        <w:trPr>
          <w:trHeight w:val="300"/>
          <w:jc w:val="center"/>
        </w:trPr>
        <w:tc>
          <w:tcPr>
            <w:tcW w:w="2566" w:type="dxa"/>
            <w:tcBorders>
              <w:top w:val="nil"/>
              <w:left w:val="single" w:sz="4" w:space="0" w:color="auto"/>
              <w:bottom w:val="single" w:sz="4" w:space="0" w:color="auto"/>
              <w:right w:val="single" w:sz="4" w:space="0" w:color="auto"/>
            </w:tcBorders>
            <w:shd w:val="clear" w:color="000000" w:fill="F2F2F2"/>
            <w:noWrap/>
            <w:vAlign w:val="bottom"/>
            <w:hideMark/>
          </w:tcPr>
          <w:p w14:paraId="3713423B" w14:textId="597ECA60" w:rsidR="00C56D1C" w:rsidRPr="007E64B9" w:rsidRDefault="00C82E8E"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Italy</w:t>
            </w:r>
          </w:p>
        </w:tc>
        <w:tc>
          <w:tcPr>
            <w:tcW w:w="3474" w:type="dxa"/>
            <w:tcBorders>
              <w:top w:val="nil"/>
              <w:left w:val="nil"/>
              <w:bottom w:val="single" w:sz="4" w:space="0" w:color="auto"/>
              <w:right w:val="single" w:sz="4" w:space="0" w:color="auto"/>
            </w:tcBorders>
            <w:shd w:val="clear" w:color="000000" w:fill="F2F2F2"/>
            <w:noWrap/>
            <w:vAlign w:val="bottom"/>
            <w:hideMark/>
          </w:tcPr>
          <w:p w14:paraId="78E09996" w14:textId="77777777" w:rsidR="00C56D1C" w:rsidRPr="007E64B9" w:rsidRDefault="00C56D1C"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5</w:t>
            </w:r>
          </w:p>
        </w:tc>
      </w:tr>
      <w:tr w:rsidR="00C56D1C" w:rsidRPr="007E64B9" w14:paraId="10AF958C" w14:textId="77777777" w:rsidTr="007608AB">
        <w:trPr>
          <w:trHeight w:val="300"/>
          <w:jc w:val="center"/>
        </w:trPr>
        <w:tc>
          <w:tcPr>
            <w:tcW w:w="2566" w:type="dxa"/>
            <w:tcBorders>
              <w:top w:val="nil"/>
              <w:left w:val="single" w:sz="4" w:space="0" w:color="auto"/>
              <w:bottom w:val="single" w:sz="4" w:space="0" w:color="auto"/>
              <w:right w:val="single" w:sz="4" w:space="0" w:color="auto"/>
            </w:tcBorders>
            <w:shd w:val="clear" w:color="auto" w:fill="auto"/>
            <w:noWrap/>
            <w:vAlign w:val="bottom"/>
            <w:hideMark/>
          </w:tcPr>
          <w:p w14:paraId="1AFE16CA" w14:textId="04E5D0E5" w:rsidR="00C56D1C" w:rsidRPr="007E64B9" w:rsidRDefault="00C82E8E"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Denmark</w:t>
            </w:r>
          </w:p>
        </w:tc>
        <w:tc>
          <w:tcPr>
            <w:tcW w:w="3474" w:type="dxa"/>
            <w:tcBorders>
              <w:top w:val="nil"/>
              <w:left w:val="nil"/>
              <w:bottom w:val="single" w:sz="4" w:space="0" w:color="auto"/>
              <w:right w:val="single" w:sz="4" w:space="0" w:color="auto"/>
            </w:tcBorders>
            <w:shd w:val="clear" w:color="auto" w:fill="auto"/>
            <w:noWrap/>
            <w:vAlign w:val="bottom"/>
            <w:hideMark/>
          </w:tcPr>
          <w:p w14:paraId="20BD13DC" w14:textId="77777777" w:rsidR="00C56D1C" w:rsidRPr="007E64B9" w:rsidRDefault="00C56D1C"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4</w:t>
            </w:r>
          </w:p>
        </w:tc>
      </w:tr>
      <w:tr w:rsidR="00C56D1C" w:rsidRPr="007E64B9" w14:paraId="5091F01C" w14:textId="77777777" w:rsidTr="007608AB">
        <w:trPr>
          <w:trHeight w:val="300"/>
          <w:jc w:val="center"/>
        </w:trPr>
        <w:tc>
          <w:tcPr>
            <w:tcW w:w="2566" w:type="dxa"/>
            <w:tcBorders>
              <w:top w:val="nil"/>
              <w:left w:val="single" w:sz="4" w:space="0" w:color="auto"/>
              <w:bottom w:val="single" w:sz="4" w:space="0" w:color="auto"/>
              <w:right w:val="single" w:sz="4" w:space="0" w:color="auto"/>
            </w:tcBorders>
            <w:shd w:val="clear" w:color="000000" w:fill="F2F2F2"/>
            <w:noWrap/>
            <w:vAlign w:val="bottom"/>
            <w:hideMark/>
          </w:tcPr>
          <w:p w14:paraId="3B08DF4C" w14:textId="1F4D65C3" w:rsidR="00C56D1C" w:rsidRPr="007E64B9" w:rsidRDefault="00C82E8E"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Turkey</w:t>
            </w:r>
          </w:p>
        </w:tc>
        <w:tc>
          <w:tcPr>
            <w:tcW w:w="3474" w:type="dxa"/>
            <w:tcBorders>
              <w:top w:val="nil"/>
              <w:left w:val="nil"/>
              <w:bottom w:val="single" w:sz="4" w:space="0" w:color="auto"/>
              <w:right w:val="single" w:sz="4" w:space="0" w:color="auto"/>
            </w:tcBorders>
            <w:shd w:val="clear" w:color="000000" w:fill="F2F2F2"/>
            <w:noWrap/>
            <w:vAlign w:val="bottom"/>
            <w:hideMark/>
          </w:tcPr>
          <w:p w14:paraId="5E6B2C5E" w14:textId="77777777" w:rsidR="00C56D1C" w:rsidRPr="007E64B9" w:rsidRDefault="00C56D1C"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3</w:t>
            </w:r>
          </w:p>
        </w:tc>
      </w:tr>
      <w:tr w:rsidR="00C56D1C" w:rsidRPr="007E64B9" w14:paraId="7C50BAB1" w14:textId="77777777" w:rsidTr="007608AB">
        <w:trPr>
          <w:trHeight w:val="300"/>
          <w:jc w:val="center"/>
        </w:trPr>
        <w:tc>
          <w:tcPr>
            <w:tcW w:w="2566" w:type="dxa"/>
            <w:tcBorders>
              <w:top w:val="nil"/>
              <w:left w:val="single" w:sz="4" w:space="0" w:color="auto"/>
              <w:bottom w:val="single" w:sz="4" w:space="0" w:color="auto"/>
              <w:right w:val="single" w:sz="4" w:space="0" w:color="auto"/>
            </w:tcBorders>
            <w:shd w:val="clear" w:color="auto" w:fill="auto"/>
            <w:noWrap/>
            <w:vAlign w:val="bottom"/>
            <w:hideMark/>
          </w:tcPr>
          <w:p w14:paraId="09B53379" w14:textId="55D6FD8B" w:rsidR="00C56D1C" w:rsidRPr="007E64B9" w:rsidRDefault="00C82E8E"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Estonia</w:t>
            </w:r>
          </w:p>
        </w:tc>
        <w:tc>
          <w:tcPr>
            <w:tcW w:w="3474" w:type="dxa"/>
            <w:tcBorders>
              <w:top w:val="nil"/>
              <w:left w:val="nil"/>
              <w:bottom w:val="single" w:sz="4" w:space="0" w:color="auto"/>
              <w:right w:val="single" w:sz="4" w:space="0" w:color="auto"/>
            </w:tcBorders>
            <w:shd w:val="clear" w:color="auto" w:fill="auto"/>
            <w:noWrap/>
            <w:vAlign w:val="bottom"/>
            <w:hideMark/>
          </w:tcPr>
          <w:p w14:paraId="07845F82" w14:textId="77777777" w:rsidR="00C56D1C" w:rsidRPr="007E64B9" w:rsidRDefault="00C56D1C"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2</w:t>
            </w:r>
          </w:p>
        </w:tc>
      </w:tr>
      <w:tr w:rsidR="00C56D1C" w:rsidRPr="007E64B9" w14:paraId="41BCAC30" w14:textId="77777777" w:rsidTr="007608AB">
        <w:trPr>
          <w:trHeight w:val="300"/>
          <w:jc w:val="center"/>
        </w:trPr>
        <w:tc>
          <w:tcPr>
            <w:tcW w:w="2566" w:type="dxa"/>
            <w:tcBorders>
              <w:top w:val="nil"/>
              <w:left w:val="single" w:sz="4" w:space="0" w:color="auto"/>
              <w:bottom w:val="single" w:sz="4" w:space="0" w:color="auto"/>
              <w:right w:val="single" w:sz="4" w:space="0" w:color="auto"/>
            </w:tcBorders>
            <w:shd w:val="clear" w:color="000000" w:fill="F2F2F2"/>
            <w:noWrap/>
            <w:vAlign w:val="bottom"/>
            <w:hideMark/>
          </w:tcPr>
          <w:p w14:paraId="4017088B" w14:textId="77777777" w:rsidR="00C56D1C" w:rsidRPr="007E64B9" w:rsidRDefault="00C56D1C"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Portugal</w:t>
            </w:r>
          </w:p>
        </w:tc>
        <w:tc>
          <w:tcPr>
            <w:tcW w:w="3474" w:type="dxa"/>
            <w:tcBorders>
              <w:top w:val="nil"/>
              <w:left w:val="nil"/>
              <w:bottom w:val="single" w:sz="4" w:space="0" w:color="auto"/>
              <w:right w:val="single" w:sz="4" w:space="0" w:color="auto"/>
            </w:tcBorders>
            <w:shd w:val="clear" w:color="000000" w:fill="F2F2F2"/>
            <w:noWrap/>
            <w:vAlign w:val="bottom"/>
            <w:hideMark/>
          </w:tcPr>
          <w:p w14:paraId="4EAF9A3B" w14:textId="77777777" w:rsidR="00C56D1C" w:rsidRPr="007E64B9" w:rsidRDefault="00C56D1C"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2</w:t>
            </w:r>
          </w:p>
        </w:tc>
      </w:tr>
      <w:tr w:rsidR="00C56D1C" w:rsidRPr="007E64B9" w14:paraId="61966418" w14:textId="77777777" w:rsidTr="007608AB">
        <w:trPr>
          <w:trHeight w:val="300"/>
          <w:jc w:val="center"/>
        </w:trPr>
        <w:tc>
          <w:tcPr>
            <w:tcW w:w="2566" w:type="dxa"/>
            <w:tcBorders>
              <w:top w:val="nil"/>
              <w:left w:val="single" w:sz="4" w:space="0" w:color="auto"/>
              <w:bottom w:val="single" w:sz="4" w:space="0" w:color="auto"/>
              <w:right w:val="single" w:sz="4" w:space="0" w:color="auto"/>
            </w:tcBorders>
            <w:shd w:val="clear" w:color="auto" w:fill="auto"/>
            <w:noWrap/>
            <w:vAlign w:val="bottom"/>
            <w:hideMark/>
          </w:tcPr>
          <w:p w14:paraId="7E2696B5" w14:textId="5C1D3A3F" w:rsidR="00C56D1C" w:rsidRPr="007E64B9" w:rsidRDefault="00C82E8E"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Austria</w:t>
            </w:r>
          </w:p>
        </w:tc>
        <w:tc>
          <w:tcPr>
            <w:tcW w:w="3474" w:type="dxa"/>
            <w:tcBorders>
              <w:top w:val="nil"/>
              <w:left w:val="nil"/>
              <w:bottom w:val="single" w:sz="4" w:space="0" w:color="auto"/>
              <w:right w:val="single" w:sz="4" w:space="0" w:color="auto"/>
            </w:tcBorders>
            <w:shd w:val="clear" w:color="auto" w:fill="auto"/>
            <w:noWrap/>
            <w:vAlign w:val="bottom"/>
            <w:hideMark/>
          </w:tcPr>
          <w:p w14:paraId="2970A5D3" w14:textId="77777777" w:rsidR="00C56D1C" w:rsidRPr="007E64B9" w:rsidRDefault="00C56D1C"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1</w:t>
            </w:r>
          </w:p>
        </w:tc>
      </w:tr>
      <w:tr w:rsidR="00C56D1C" w:rsidRPr="007E64B9" w14:paraId="2DEB2C77" w14:textId="77777777" w:rsidTr="007608AB">
        <w:trPr>
          <w:trHeight w:val="300"/>
          <w:jc w:val="center"/>
        </w:trPr>
        <w:tc>
          <w:tcPr>
            <w:tcW w:w="2566" w:type="dxa"/>
            <w:tcBorders>
              <w:top w:val="nil"/>
              <w:left w:val="single" w:sz="4" w:space="0" w:color="auto"/>
              <w:bottom w:val="single" w:sz="4" w:space="0" w:color="auto"/>
              <w:right w:val="single" w:sz="4" w:space="0" w:color="auto"/>
            </w:tcBorders>
            <w:shd w:val="clear" w:color="000000" w:fill="F2F2F2"/>
            <w:noWrap/>
            <w:vAlign w:val="bottom"/>
            <w:hideMark/>
          </w:tcPr>
          <w:p w14:paraId="618AE1C1" w14:textId="77777777" w:rsidR="00C56D1C" w:rsidRPr="007E64B9" w:rsidRDefault="00C56D1C"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China</w:t>
            </w:r>
          </w:p>
        </w:tc>
        <w:tc>
          <w:tcPr>
            <w:tcW w:w="3474" w:type="dxa"/>
            <w:tcBorders>
              <w:top w:val="nil"/>
              <w:left w:val="nil"/>
              <w:bottom w:val="single" w:sz="4" w:space="0" w:color="auto"/>
              <w:right w:val="single" w:sz="4" w:space="0" w:color="auto"/>
            </w:tcBorders>
            <w:shd w:val="clear" w:color="000000" w:fill="F2F2F2"/>
            <w:noWrap/>
            <w:vAlign w:val="bottom"/>
            <w:hideMark/>
          </w:tcPr>
          <w:p w14:paraId="28039EAD" w14:textId="77777777" w:rsidR="00C56D1C" w:rsidRPr="007E64B9" w:rsidRDefault="00C56D1C"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1</w:t>
            </w:r>
          </w:p>
        </w:tc>
      </w:tr>
      <w:tr w:rsidR="00C56D1C" w:rsidRPr="007E64B9" w14:paraId="01D9AA6F" w14:textId="77777777" w:rsidTr="007608AB">
        <w:trPr>
          <w:trHeight w:val="300"/>
          <w:jc w:val="center"/>
        </w:trPr>
        <w:tc>
          <w:tcPr>
            <w:tcW w:w="2566" w:type="dxa"/>
            <w:tcBorders>
              <w:top w:val="nil"/>
              <w:left w:val="single" w:sz="4" w:space="0" w:color="auto"/>
              <w:bottom w:val="single" w:sz="4" w:space="0" w:color="auto"/>
              <w:right w:val="single" w:sz="4" w:space="0" w:color="auto"/>
            </w:tcBorders>
            <w:shd w:val="clear" w:color="auto" w:fill="auto"/>
            <w:noWrap/>
            <w:vAlign w:val="bottom"/>
            <w:hideMark/>
          </w:tcPr>
          <w:p w14:paraId="32158E00" w14:textId="79EEBCDE" w:rsidR="00C56D1C" w:rsidRPr="007E64B9" w:rsidRDefault="00C82E8E"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Hungary</w:t>
            </w:r>
          </w:p>
        </w:tc>
        <w:tc>
          <w:tcPr>
            <w:tcW w:w="3474" w:type="dxa"/>
            <w:tcBorders>
              <w:top w:val="nil"/>
              <w:left w:val="nil"/>
              <w:bottom w:val="single" w:sz="4" w:space="0" w:color="auto"/>
              <w:right w:val="single" w:sz="4" w:space="0" w:color="auto"/>
            </w:tcBorders>
            <w:shd w:val="clear" w:color="auto" w:fill="auto"/>
            <w:noWrap/>
            <w:vAlign w:val="bottom"/>
            <w:hideMark/>
          </w:tcPr>
          <w:p w14:paraId="7FF55563" w14:textId="77777777" w:rsidR="00C56D1C" w:rsidRPr="007E64B9" w:rsidRDefault="00C56D1C"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1</w:t>
            </w:r>
          </w:p>
        </w:tc>
      </w:tr>
      <w:tr w:rsidR="00C56D1C" w:rsidRPr="007E64B9" w14:paraId="3091A5DD" w14:textId="77777777" w:rsidTr="007608AB">
        <w:trPr>
          <w:trHeight w:val="300"/>
          <w:jc w:val="center"/>
        </w:trPr>
        <w:tc>
          <w:tcPr>
            <w:tcW w:w="2566" w:type="dxa"/>
            <w:tcBorders>
              <w:top w:val="nil"/>
              <w:left w:val="single" w:sz="4" w:space="0" w:color="auto"/>
              <w:bottom w:val="single" w:sz="4" w:space="0" w:color="auto"/>
              <w:right w:val="single" w:sz="4" w:space="0" w:color="auto"/>
            </w:tcBorders>
            <w:shd w:val="clear" w:color="000000" w:fill="F2F2F2"/>
            <w:noWrap/>
            <w:vAlign w:val="bottom"/>
            <w:hideMark/>
          </w:tcPr>
          <w:p w14:paraId="166C145B" w14:textId="421BAB34" w:rsidR="00C56D1C" w:rsidRPr="007E64B9" w:rsidRDefault="00C82E8E"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Norway</w:t>
            </w:r>
          </w:p>
        </w:tc>
        <w:tc>
          <w:tcPr>
            <w:tcW w:w="3474" w:type="dxa"/>
            <w:tcBorders>
              <w:top w:val="nil"/>
              <w:left w:val="nil"/>
              <w:bottom w:val="single" w:sz="4" w:space="0" w:color="auto"/>
              <w:right w:val="single" w:sz="4" w:space="0" w:color="auto"/>
            </w:tcBorders>
            <w:shd w:val="clear" w:color="000000" w:fill="F2F2F2"/>
            <w:noWrap/>
            <w:vAlign w:val="bottom"/>
            <w:hideMark/>
          </w:tcPr>
          <w:p w14:paraId="4B55AB18" w14:textId="77777777" w:rsidR="00C56D1C" w:rsidRPr="007E64B9" w:rsidRDefault="00C56D1C"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1</w:t>
            </w:r>
          </w:p>
        </w:tc>
      </w:tr>
      <w:tr w:rsidR="00C56D1C" w:rsidRPr="007E64B9" w14:paraId="2D62B258" w14:textId="77777777" w:rsidTr="007608AB">
        <w:trPr>
          <w:trHeight w:val="300"/>
          <w:jc w:val="center"/>
        </w:trPr>
        <w:tc>
          <w:tcPr>
            <w:tcW w:w="2566" w:type="dxa"/>
            <w:tcBorders>
              <w:top w:val="nil"/>
              <w:left w:val="single" w:sz="4" w:space="0" w:color="auto"/>
              <w:bottom w:val="single" w:sz="4" w:space="0" w:color="auto"/>
              <w:right w:val="single" w:sz="4" w:space="0" w:color="auto"/>
            </w:tcBorders>
            <w:shd w:val="clear" w:color="auto" w:fill="auto"/>
            <w:noWrap/>
            <w:vAlign w:val="bottom"/>
            <w:hideMark/>
          </w:tcPr>
          <w:p w14:paraId="5E94E992" w14:textId="77777777" w:rsidR="00C56D1C" w:rsidRPr="007E64B9" w:rsidRDefault="00C56D1C"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Singapore</w:t>
            </w:r>
          </w:p>
        </w:tc>
        <w:tc>
          <w:tcPr>
            <w:tcW w:w="3474" w:type="dxa"/>
            <w:tcBorders>
              <w:top w:val="nil"/>
              <w:left w:val="nil"/>
              <w:bottom w:val="single" w:sz="4" w:space="0" w:color="auto"/>
              <w:right w:val="single" w:sz="4" w:space="0" w:color="auto"/>
            </w:tcBorders>
            <w:shd w:val="clear" w:color="auto" w:fill="auto"/>
            <w:noWrap/>
            <w:vAlign w:val="bottom"/>
            <w:hideMark/>
          </w:tcPr>
          <w:p w14:paraId="11D18186" w14:textId="77777777" w:rsidR="00C56D1C" w:rsidRPr="007E64B9" w:rsidRDefault="00C56D1C"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1</w:t>
            </w:r>
          </w:p>
        </w:tc>
      </w:tr>
      <w:tr w:rsidR="00C56D1C" w:rsidRPr="007E64B9" w14:paraId="0E90D912" w14:textId="77777777" w:rsidTr="007608AB">
        <w:trPr>
          <w:trHeight w:val="300"/>
          <w:jc w:val="center"/>
        </w:trPr>
        <w:tc>
          <w:tcPr>
            <w:tcW w:w="2566" w:type="dxa"/>
            <w:tcBorders>
              <w:top w:val="nil"/>
              <w:left w:val="single" w:sz="4" w:space="0" w:color="auto"/>
              <w:bottom w:val="single" w:sz="4" w:space="0" w:color="auto"/>
              <w:right w:val="single" w:sz="4" w:space="0" w:color="auto"/>
            </w:tcBorders>
            <w:shd w:val="clear" w:color="000000" w:fill="F2F2F2"/>
            <w:noWrap/>
            <w:vAlign w:val="bottom"/>
            <w:hideMark/>
          </w:tcPr>
          <w:p w14:paraId="3E60AA71" w14:textId="794D2FB3" w:rsidR="00C56D1C" w:rsidRPr="007E64B9" w:rsidRDefault="007C4174"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Spa</w:t>
            </w:r>
            <w:r w:rsidR="00C82E8E" w:rsidRPr="007E64B9">
              <w:rPr>
                <w:rFonts w:eastAsia="Times New Roman" w:cs="Times New Roman"/>
                <w:color w:val="000000"/>
                <w:sz w:val="24"/>
                <w:szCs w:val="24"/>
                <w:lang w:val="en-GB" w:eastAsia="fr-BE"/>
              </w:rPr>
              <w:t>in</w:t>
            </w:r>
          </w:p>
        </w:tc>
        <w:tc>
          <w:tcPr>
            <w:tcW w:w="3474" w:type="dxa"/>
            <w:tcBorders>
              <w:top w:val="nil"/>
              <w:left w:val="nil"/>
              <w:bottom w:val="single" w:sz="4" w:space="0" w:color="auto"/>
              <w:right w:val="single" w:sz="4" w:space="0" w:color="auto"/>
            </w:tcBorders>
            <w:shd w:val="clear" w:color="000000" w:fill="F2F2F2"/>
            <w:noWrap/>
            <w:vAlign w:val="bottom"/>
            <w:hideMark/>
          </w:tcPr>
          <w:p w14:paraId="1D778E0A" w14:textId="77777777" w:rsidR="00C56D1C" w:rsidRPr="007E64B9" w:rsidRDefault="00C56D1C"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1</w:t>
            </w:r>
          </w:p>
        </w:tc>
      </w:tr>
      <w:tr w:rsidR="00C56D1C" w:rsidRPr="007E64B9" w14:paraId="0CB1C457" w14:textId="77777777" w:rsidTr="007608AB">
        <w:trPr>
          <w:trHeight w:val="300"/>
          <w:jc w:val="center"/>
        </w:trPr>
        <w:tc>
          <w:tcPr>
            <w:tcW w:w="2566" w:type="dxa"/>
            <w:tcBorders>
              <w:top w:val="nil"/>
              <w:left w:val="single" w:sz="4" w:space="0" w:color="auto"/>
              <w:bottom w:val="single" w:sz="4" w:space="0" w:color="auto"/>
              <w:right w:val="single" w:sz="4" w:space="0" w:color="auto"/>
            </w:tcBorders>
            <w:shd w:val="clear" w:color="auto" w:fill="auto"/>
            <w:noWrap/>
            <w:vAlign w:val="bottom"/>
            <w:hideMark/>
          </w:tcPr>
          <w:p w14:paraId="65E44D4C" w14:textId="366270E1" w:rsidR="00C56D1C" w:rsidRPr="007E64B9" w:rsidRDefault="008830E9"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United Kingdom</w:t>
            </w:r>
          </w:p>
        </w:tc>
        <w:tc>
          <w:tcPr>
            <w:tcW w:w="3474" w:type="dxa"/>
            <w:tcBorders>
              <w:top w:val="nil"/>
              <w:left w:val="nil"/>
              <w:bottom w:val="single" w:sz="4" w:space="0" w:color="auto"/>
              <w:right w:val="single" w:sz="4" w:space="0" w:color="auto"/>
            </w:tcBorders>
            <w:shd w:val="clear" w:color="auto" w:fill="auto"/>
            <w:noWrap/>
            <w:vAlign w:val="bottom"/>
            <w:hideMark/>
          </w:tcPr>
          <w:p w14:paraId="02763A93" w14:textId="77777777" w:rsidR="00C56D1C" w:rsidRPr="007E64B9" w:rsidRDefault="00C56D1C" w:rsidP="008830E9">
            <w:pPr>
              <w:spacing w:after="0" w:line="240" w:lineRule="auto"/>
              <w:jc w:val="both"/>
              <w:rPr>
                <w:rFonts w:eastAsia="Times New Roman" w:cs="Times New Roman"/>
                <w:color w:val="000000"/>
                <w:sz w:val="24"/>
                <w:szCs w:val="24"/>
                <w:lang w:val="en-GB" w:eastAsia="fr-BE"/>
              </w:rPr>
            </w:pPr>
            <w:r w:rsidRPr="007E64B9">
              <w:rPr>
                <w:rFonts w:eastAsia="Times New Roman" w:cs="Times New Roman"/>
                <w:color w:val="000000"/>
                <w:sz w:val="24"/>
                <w:szCs w:val="24"/>
                <w:lang w:val="en-GB" w:eastAsia="fr-BE"/>
              </w:rPr>
              <w:t>1</w:t>
            </w:r>
          </w:p>
        </w:tc>
      </w:tr>
      <w:tr w:rsidR="00C56D1C" w:rsidRPr="007E64B9" w14:paraId="729F6933" w14:textId="77777777" w:rsidTr="007608AB">
        <w:trPr>
          <w:trHeight w:val="300"/>
          <w:jc w:val="center"/>
        </w:trPr>
        <w:tc>
          <w:tcPr>
            <w:tcW w:w="2566" w:type="dxa"/>
            <w:tcBorders>
              <w:top w:val="nil"/>
              <w:left w:val="single" w:sz="4" w:space="0" w:color="auto"/>
              <w:bottom w:val="single" w:sz="4" w:space="0" w:color="auto"/>
              <w:right w:val="single" w:sz="4" w:space="0" w:color="auto"/>
            </w:tcBorders>
            <w:shd w:val="clear" w:color="auto" w:fill="auto"/>
            <w:noWrap/>
            <w:vAlign w:val="bottom"/>
            <w:hideMark/>
          </w:tcPr>
          <w:p w14:paraId="1AC5F429" w14:textId="77777777" w:rsidR="00C56D1C" w:rsidRPr="007E64B9" w:rsidRDefault="00C56D1C" w:rsidP="008830E9">
            <w:pPr>
              <w:spacing w:after="0" w:line="240" w:lineRule="auto"/>
              <w:jc w:val="both"/>
              <w:rPr>
                <w:rFonts w:eastAsia="Times New Roman" w:cs="Times New Roman"/>
                <w:b/>
                <w:bCs/>
                <w:color w:val="000000"/>
                <w:sz w:val="24"/>
                <w:szCs w:val="24"/>
                <w:lang w:val="en-GB" w:eastAsia="fr-BE"/>
              </w:rPr>
            </w:pPr>
            <w:r w:rsidRPr="007E64B9">
              <w:rPr>
                <w:rFonts w:eastAsia="Times New Roman" w:cs="Times New Roman"/>
                <w:b/>
                <w:bCs/>
                <w:color w:val="000000"/>
                <w:sz w:val="24"/>
                <w:szCs w:val="24"/>
                <w:lang w:val="en-GB" w:eastAsia="fr-BE"/>
              </w:rPr>
              <w:t>TOTAL</w:t>
            </w:r>
          </w:p>
        </w:tc>
        <w:tc>
          <w:tcPr>
            <w:tcW w:w="3474" w:type="dxa"/>
            <w:tcBorders>
              <w:top w:val="nil"/>
              <w:left w:val="nil"/>
              <w:bottom w:val="single" w:sz="4" w:space="0" w:color="auto"/>
              <w:right w:val="single" w:sz="4" w:space="0" w:color="auto"/>
            </w:tcBorders>
            <w:shd w:val="clear" w:color="auto" w:fill="auto"/>
            <w:noWrap/>
            <w:vAlign w:val="bottom"/>
            <w:hideMark/>
          </w:tcPr>
          <w:p w14:paraId="373475FE" w14:textId="77777777" w:rsidR="00C56D1C" w:rsidRPr="007E64B9" w:rsidRDefault="00C56D1C" w:rsidP="008830E9">
            <w:pPr>
              <w:spacing w:after="0" w:line="240" w:lineRule="auto"/>
              <w:jc w:val="both"/>
              <w:rPr>
                <w:rFonts w:eastAsia="Times New Roman" w:cs="Times New Roman"/>
                <w:b/>
                <w:bCs/>
                <w:color w:val="000000"/>
                <w:sz w:val="24"/>
                <w:szCs w:val="24"/>
                <w:lang w:val="en-GB" w:eastAsia="fr-BE"/>
              </w:rPr>
            </w:pPr>
            <w:r w:rsidRPr="007E64B9">
              <w:rPr>
                <w:rFonts w:eastAsia="Times New Roman" w:cs="Times New Roman"/>
                <w:b/>
                <w:bCs/>
                <w:color w:val="000000"/>
                <w:sz w:val="24"/>
                <w:szCs w:val="24"/>
                <w:lang w:val="en-GB" w:eastAsia="fr-BE"/>
              </w:rPr>
              <w:t>221</w:t>
            </w:r>
          </w:p>
        </w:tc>
      </w:tr>
    </w:tbl>
    <w:p w14:paraId="1E272A8D" w14:textId="77777777" w:rsidR="008830E9" w:rsidRPr="007E64B9" w:rsidRDefault="008830E9" w:rsidP="008830E9">
      <w:pPr>
        <w:jc w:val="both"/>
        <w:rPr>
          <w:sz w:val="24"/>
          <w:szCs w:val="24"/>
          <w:lang w:val="en-GB"/>
        </w:rPr>
      </w:pPr>
    </w:p>
    <w:p w14:paraId="54042AB4" w14:textId="24D5E739" w:rsidR="00C56D1C" w:rsidRPr="007E64B9" w:rsidRDefault="008830E9" w:rsidP="008830E9">
      <w:pPr>
        <w:jc w:val="both"/>
        <w:rPr>
          <w:sz w:val="24"/>
          <w:szCs w:val="24"/>
          <w:lang w:val="en-GB"/>
        </w:rPr>
      </w:pPr>
      <w:r w:rsidRPr="007E64B9">
        <w:rPr>
          <w:sz w:val="24"/>
          <w:szCs w:val="24"/>
          <w:lang w:val="en-GB"/>
        </w:rPr>
        <w:t>Completing the top three is Germany, for whom our event is clearly considered the place to reach Benelux retailers</w:t>
      </w:r>
      <w:r w:rsidR="00415248" w:rsidRPr="007E64B9">
        <w:rPr>
          <w:sz w:val="24"/>
          <w:szCs w:val="24"/>
          <w:lang w:val="en-GB"/>
        </w:rPr>
        <w:t xml:space="preserve">. </w:t>
      </w:r>
      <w:r w:rsidRPr="007E64B9">
        <w:rPr>
          <w:sz w:val="24"/>
          <w:szCs w:val="24"/>
          <w:lang w:val="en-GB"/>
        </w:rPr>
        <w:t xml:space="preserve">The same is </w:t>
      </w:r>
      <w:r w:rsidR="000E620D" w:rsidRPr="007E64B9">
        <w:rPr>
          <w:sz w:val="24"/>
          <w:szCs w:val="24"/>
          <w:lang w:val="en-GB"/>
        </w:rPr>
        <w:t xml:space="preserve">also </w:t>
      </w:r>
      <w:r w:rsidRPr="007E64B9">
        <w:rPr>
          <w:sz w:val="24"/>
          <w:szCs w:val="24"/>
          <w:lang w:val="en-GB"/>
        </w:rPr>
        <w:t>true of Poland</w:t>
      </w:r>
      <w:r w:rsidR="000E620D" w:rsidRPr="007E64B9">
        <w:rPr>
          <w:sz w:val="24"/>
          <w:szCs w:val="24"/>
          <w:lang w:val="en-GB"/>
        </w:rPr>
        <w:t>,</w:t>
      </w:r>
      <w:r w:rsidRPr="007E64B9">
        <w:rPr>
          <w:sz w:val="24"/>
          <w:szCs w:val="24"/>
          <w:lang w:val="en-GB"/>
        </w:rPr>
        <w:t xml:space="preserve"> </w:t>
      </w:r>
      <w:r w:rsidR="00365AAB" w:rsidRPr="007E64B9">
        <w:rPr>
          <w:sz w:val="24"/>
          <w:szCs w:val="24"/>
          <w:lang w:val="en-GB"/>
        </w:rPr>
        <w:t>coincidentally</w:t>
      </w:r>
      <w:r w:rsidRPr="007E64B9">
        <w:rPr>
          <w:sz w:val="24"/>
          <w:szCs w:val="24"/>
          <w:lang w:val="en-GB"/>
        </w:rPr>
        <w:t xml:space="preserve">, </w:t>
      </w:r>
      <w:r w:rsidR="00365AAB" w:rsidRPr="007E64B9">
        <w:rPr>
          <w:sz w:val="24"/>
          <w:szCs w:val="24"/>
          <w:lang w:val="en-GB"/>
        </w:rPr>
        <w:t xml:space="preserve">a country that </w:t>
      </w:r>
      <w:r w:rsidR="003637E0">
        <w:rPr>
          <w:sz w:val="24"/>
          <w:szCs w:val="24"/>
          <w:lang w:val="en-GB"/>
        </w:rPr>
        <w:t>has always had</w:t>
      </w:r>
      <w:r w:rsidR="002F6D1B">
        <w:rPr>
          <w:sz w:val="24"/>
          <w:szCs w:val="24"/>
          <w:lang w:val="en-GB"/>
        </w:rPr>
        <w:t xml:space="preserve"> a strong presence in </w:t>
      </w:r>
      <w:r w:rsidRPr="007E64B9">
        <w:rPr>
          <w:sz w:val="24"/>
          <w:szCs w:val="24"/>
          <w:lang w:val="en-GB"/>
        </w:rPr>
        <w:t>Brussels</w:t>
      </w:r>
      <w:r w:rsidR="00A06A52" w:rsidRPr="007E64B9">
        <w:rPr>
          <w:sz w:val="24"/>
          <w:szCs w:val="24"/>
          <w:lang w:val="en-GB"/>
        </w:rPr>
        <w:t xml:space="preserve">. </w:t>
      </w:r>
    </w:p>
    <w:p w14:paraId="2F189679" w14:textId="1753F5A5" w:rsidR="00A06A52" w:rsidRPr="007E64B9" w:rsidRDefault="00BA502E" w:rsidP="008830E9">
      <w:pPr>
        <w:jc w:val="both"/>
        <w:rPr>
          <w:sz w:val="24"/>
          <w:szCs w:val="24"/>
          <w:lang w:val="en-GB"/>
        </w:rPr>
      </w:pPr>
      <w:r>
        <w:rPr>
          <w:sz w:val="24"/>
          <w:szCs w:val="24"/>
          <w:lang w:val="en-GB"/>
        </w:rPr>
        <w:t xml:space="preserve">We </w:t>
      </w:r>
      <w:r w:rsidR="00F458C1">
        <w:rPr>
          <w:sz w:val="24"/>
          <w:szCs w:val="24"/>
          <w:lang w:val="en-GB"/>
        </w:rPr>
        <w:t xml:space="preserve">have also observed </w:t>
      </w:r>
      <w:r>
        <w:rPr>
          <w:sz w:val="24"/>
          <w:szCs w:val="24"/>
          <w:lang w:val="en-GB"/>
        </w:rPr>
        <w:t xml:space="preserve">a slight drop in the number of </w:t>
      </w:r>
      <w:r w:rsidR="00F458C1">
        <w:rPr>
          <w:sz w:val="24"/>
          <w:szCs w:val="24"/>
          <w:lang w:val="en-GB"/>
        </w:rPr>
        <w:t xml:space="preserve">Italian </w:t>
      </w:r>
      <w:r w:rsidR="008830E9" w:rsidRPr="007E64B9">
        <w:rPr>
          <w:sz w:val="24"/>
          <w:szCs w:val="24"/>
          <w:lang w:val="en-GB"/>
        </w:rPr>
        <w:t xml:space="preserve">exhibitors </w:t>
      </w:r>
      <w:r>
        <w:rPr>
          <w:sz w:val="24"/>
          <w:szCs w:val="24"/>
          <w:lang w:val="en-GB"/>
        </w:rPr>
        <w:t>this year</w:t>
      </w:r>
      <w:r w:rsidR="008830E9" w:rsidRPr="007E64B9">
        <w:rPr>
          <w:sz w:val="24"/>
          <w:szCs w:val="24"/>
          <w:lang w:val="en-GB"/>
        </w:rPr>
        <w:t xml:space="preserve">, </w:t>
      </w:r>
      <w:r w:rsidR="000E620D" w:rsidRPr="007E64B9">
        <w:rPr>
          <w:sz w:val="24"/>
          <w:szCs w:val="24"/>
          <w:lang w:val="en-GB"/>
        </w:rPr>
        <w:t xml:space="preserve">who </w:t>
      </w:r>
      <w:r w:rsidR="00F25F7C" w:rsidRPr="007E64B9">
        <w:rPr>
          <w:sz w:val="24"/>
          <w:szCs w:val="24"/>
          <w:lang w:val="en-GB"/>
        </w:rPr>
        <w:t xml:space="preserve">are </w:t>
      </w:r>
      <w:r>
        <w:rPr>
          <w:sz w:val="24"/>
          <w:szCs w:val="24"/>
          <w:lang w:val="en-GB"/>
        </w:rPr>
        <w:t xml:space="preserve">typically </w:t>
      </w:r>
      <w:r w:rsidR="002F6D1B">
        <w:rPr>
          <w:sz w:val="24"/>
          <w:szCs w:val="24"/>
          <w:lang w:val="en-GB"/>
        </w:rPr>
        <w:t>f</w:t>
      </w:r>
      <w:r w:rsidR="008830E9" w:rsidRPr="007E64B9">
        <w:rPr>
          <w:sz w:val="24"/>
          <w:szCs w:val="24"/>
          <w:lang w:val="en-GB"/>
        </w:rPr>
        <w:t xml:space="preserve">ound in </w:t>
      </w:r>
      <w:r w:rsidR="00105B28">
        <w:rPr>
          <w:sz w:val="24"/>
          <w:szCs w:val="24"/>
          <w:lang w:val="en-GB"/>
        </w:rPr>
        <w:t>h</w:t>
      </w:r>
      <w:r w:rsidR="008830E9" w:rsidRPr="007E64B9">
        <w:rPr>
          <w:sz w:val="24"/>
          <w:szCs w:val="24"/>
          <w:lang w:val="en-GB"/>
        </w:rPr>
        <w:t>all 3</w:t>
      </w:r>
      <w:r w:rsidR="00E162C0" w:rsidRPr="007E64B9">
        <w:rPr>
          <w:sz w:val="24"/>
          <w:szCs w:val="24"/>
          <w:lang w:val="en-GB"/>
        </w:rPr>
        <w:t xml:space="preserve">. </w:t>
      </w:r>
      <w:r w:rsidR="007E64B9" w:rsidRPr="007E64B9">
        <w:rPr>
          <w:sz w:val="24"/>
          <w:szCs w:val="24"/>
          <w:lang w:val="en-GB"/>
        </w:rPr>
        <w:t xml:space="preserve">This is a </w:t>
      </w:r>
      <w:r w:rsidR="008830E9" w:rsidRPr="007E64B9">
        <w:rPr>
          <w:sz w:val="24"/>
          <w:szCs w:val="24"/>
          <w:lang w:val="en-GB"/>
        </w:rPr>
        <w:t xml:space="preserve">growth opportunity </w:t>
      </w:r>
      <w:r w:rsidR="00F25F7C" w:rsidRPr="007E64B9">
        <w:rPr>
          <w:sz w:val="24"/>
          <w:szCs w:val="24"/>
          <w:lang w:val="en-GB"/>
        </w:rPr>
        <w:t xml:space="preserve">for </w:t>
      </w:r>
      <w:r w:rsidR="008830E9" w:rsidRPr="007E64B9">
        <w:rPr>
          <w:sz w:val="24"/>
          <w:szCs w:val="24"/>
          <w:lang w:val="en-GB"/>
        </w:rPr>
        <w:t>next year</w:t>
      </w:r>
      <w:r>
        <w:rPr>
          <w:sz w:val="24"/>
          <w:szCs w:val="24"/>
          <w:lang w:val="en-GB"/>
        </w:rPr>
        <w:t>’</w:t>
      </w:r>
      <w:r w:rsidR="00F25F7C" w:rsidRPr="007E64B9">
        <w:rPr>
          <w:sz w:val="24"/>
          <w:szCs w:val="24"/>
          <w:lang w:val="en-GB"/>
        </w:rPr>
        <w:t>s edition</w:t>
      </w:r>
      <w:r w:rsidR="008830E9" w:rsidRPr="007E64B9">
        <w:rPr>
          <w:sz w:val="24"/>
          <w:szCs w:val="24"/>
          <w:lang w:val="en-GB"/>
        </w:rPr>
        <w:t xml:space="preserve">, </w:t>
      </w:r>
      <w:r w:rsidR="00F25F7C" w:rsidRPr="007E64B9">
        <w:rPr>
          <w:sz w:val="24"/>
          <w:szCs w:val="24"/>
          <w:lang w:val="en-GB"/>
        </w:rPr>
        <w:t xml:space="preserve">for which we will </w:t>
      </w:r>
      <w:r w:rsidR="007E64B9" w:rsidRPr="007E64B9">
        <w:rPr>
          <w:sz w:val="24"/>
          <w:szCs w:val="24"/>
          <w:lang w:val="en-GB"/>
        </w:rPr>
        <w:t xml:space="preserve">certainly </w:t>
      </w:r>
      <w:r w:rsidR="00F25F7C" w:rsidRPr="007E64B9">
        <w:rPr>
          <w:sz w:val="24"/>
          <w:szCs w:val="24"/>
          <w:lang w:val="en-GB"/>
        </w:rPr>
        <w:t>pay renewed attention to</w:t>
      </w:r>
      <w:r w:rsidR="008830E9" w:rsidRPr="007E64B9">
        <w:rPr>
          <w:sz w:val="24"/>
          <w:szCs w:val="24"/>
          <w:lang w:val="en-GB"/>
        </w:rPr>
        <w:t xml:space="preserve"> </w:t>
      </w:r>
      <w:r w:rsidR="002456BD">
        <w:rPr>
          <w:sz w:val="24"/>
          <w:szCs w:val="24"/>
          <w:lang w:val="en-GB"/>
        </w:rPr>
        <w:t xml:space="preserve">the </w:t>
      </w:r>
      <w:r w:rsidR="008830E9" w:rsidRPr="007E64B9">
        <w:rPr>
          <w:sz w:val="24"/>
          <w:szCs w:val="24"/>
          <w:lang w:val="en-GB"/>
        </w:rPr>
        <w:t>European Peninsula, best known in Brussels for its high-end</w:t>
      </w:r>
      <w:r>
        <w:rPr>
          <w:sz w:val="24"/>
          <w:szCs w:val="24"/>
          <w:lang w:val="en-GB"/>
        </w:rPr>
        <w:t xml:space="preserve"> sofas</w:t>
      </w:r>
      <w:r w:rsidR="003A4EB9" w:rsidRPr="007E64B9">
        <w:rPr>
          <w:sz w:val="24"/>
          <w:szCs w:val="24"/>
          <w:lang w:val="en-GB"/>
        </w:rPr>
        <w:t>.</w:t>
      </w:r>
    </w:p>
    <w:p w14:paraId="76AD97FF" w14:textId="0D381F9B" w:rsidR="003A4EB9" w:rsidRPr="007E64B9" w:rsidRDefault="00F25F7C" w:rsidP="008830E9">
      <w:pPr>
        <w:jc w:val="both"/>
        <w:rPr>
          <w:sz w:val="24"/>
          <w:szCs w:val="24"/>
          <w:lang w:val="en-GB"/>
        </w:rPr>
      </w:pPr>
      <w:r w:rsidRPr="007E64B9">
        <w:rPr>
          <w:sz w:val="24"/>
          <w:szCs w:val="24"/>
          <w:lang w:val="en-GB"/>
        </w:rPr>
        <w:t>The difference between this year</w:t>
      </w:r>
      <w:r w:rsidR="00BA502E">
        <w:rPr>
          <w:sz w:val="24"/>
          <w:szCs w:val="24"/>
          <w:lang w:val="en-GB"/>
        </w:rPr>
        <w:t>’</w:t>
      </w:r>
      <w:r w:rsidRPr="007E64B9">
        <w:rPr>
          <w:sz w:val="24"/>
          <w:szCs w:val="24"/>
          <w:lang w:val="en-GB"/>
        </w:rPr>
        <w:t xml:space="preserve">s Furniture Fair and </w:t>
      </w:r>
      <w:r w:rsidR="00BA502E">
        <w:rPr>
          <w:sz w:val="24"/>
          <w:szCs w:val="24"/>
          <w:lang w:val="en-GB"/>
        </w:rPr>
        <w:t xml:space="preserve">former </w:t>
      </w:r>
      <w:r w:rsidR="008830E9" w:rsidRPr="007E64B9">
        <w:rPr>
          <w:sz w:val="24"/>
          <w:szCs w:val="24"/>
          <w:lang w:val="en-GB"/>
        </w:rPr>
        <w:t>editions</w:t>
      </w:r>
      <w:r w:rsidRPr="007E64B9">
        <w:rPr>
          <w:sz w:val="24"/>
          <w:szCs w:val="24"/>
          <w:lang w:val="en-GB"/>
        </w:rPr>
        <w:t xml:space="preserve"> is most </w:t>
      </w:r>
      <w:r w:rsidR="00BA502E">
        <w:rPr>
          <w:sz w:val="24"/>
          <w:szCs w:val="24"/>
          <w:lang w:val="en-GB"/>
        </w:rPr>
        <w:t xml:space="preserve">striking </w:t>
      </w:r>
      <w:r w:rsidRPr="007E64B9">
        <w:rPr>
          <w:sz w:val="24"/>
          <w:szCs w:val="24"/>
          <w:lang w:val="en-GB"/>
        </w:rPr>
        <w:t xml:space="preserve">in </w:t>
      </w:r>
      <w:r w:rsidR="00105B28">
        <w:rPr>
          <w:sz w:val="24"/>
          <w:szCs w:val="24"/>
          <w:lang w:val="en-GB"/>
        </w:rPr>
        <w:t>h</w:t>
      </w:r>
      <w:r w:rsidRPr="007E64B9">
        <w:rPr>
          <w:sz w:val="24"/>
          <w:szCs w:val="24"/>
          <w:lang w:val="en-GB"/>
        </w:rPr>
        <w:t>all 9</w:t>
      </w:r>
      <w:r w:rsidR="008830E9" w:rsidRPr="007E64B9">
        <w:rPr>
          <w:sz w:val="24"/>
          <w:szCs w:val="24"/>
          <w:lang w:val="en-GB"/>
        </w:rPr>
        <w:t xml:space="preserve">. </w:t>
      </w:r>
      <w:r w:rsidRPr="007E64B9">
        <w:rPr>
          <w:sz w:val="24"/>
          <w:szCs w:val="24"/>
          <w:lang w:val="en-GB"/>
        </w:rPr>
        <w:t xml:space="preserve">Attentive </w:t>
      </w:r>
      <w:r w:rsidR="008830E9" w:rsidRPr="007E64B9">
        <w:rPr>
          <w:sz w:val="24"/>
          <w:szCs w:val="24"/>
          <w:lang w:val="en-GB"/>
        </w:rPr>
        <w:t>observer</w:t>
      </w:r>
      <w:r w:rsidRPr="007E64B9">
        <w:rPr>
          <w:sz w:val="24"/>
          <w:szCs w:val="24"/>
          <w:lang w:val="en-GB"/>
        </w:rPr>
        <w:t>s</w:t>
      </w:r>
      <w:r w:rsidR="008830E9" w:rsidRPr="007E64B9">
        <w:rPr>
          <w:sz w:val="24"/>
          <w:szCs w:val="24"/>
          <w:lang w:val="en-GB"/>
        </w:rPr>
        <w:t xml:space="preserve"> </w:t>
      </w:r>
      <w:r w:rsidRPr="007E64B9">
        <w:rPr>
          <w:sz w:val="24"/>
          <w:szCs w:val="24"/>
          <w:lang w:val="en-GB"/>
        </w:rPr>
        <w:t xml:space="preserve">will </w:t>
      </w:r>
      <w:r w:rsidR="008830E9" w:rsidRPr="007E64B9">
        <w:rPr>
          <w:sz w:val="24"/>
          <w:szCs w:val="24"/>
          <w:lang w:val="en-GB"/>
        </w:rPr>
        <w:t xml:space="preserve">notice a slight decrease in </w:t>
      </w:r>
      <w:r w:rsidRPr="007E64B9">
        <w:rPr>
          <w:sz w:val="24"/>
          <w:szCs w:val="24"/>
          <w:lang w:val="en-GB"/>
        </w:rPr>
        <w:t xml:space="preserve">the </w:t>
      </w:r>
      <w:r w:rsidR="008830E9" w:rsidRPr="007E64B9">
        <w:rPr>
          <w:sz w:val="24"/>
          <w:szCs w:val="24"/>
          <w:lang w:val="en-GB"/>
        </w:rPr>
        <w:t xml:space="preserve">exhibition space, but </w:t>
      </w:r>
      <w:r w:rsidRPr="007E64B9">
        <w:rPr>
          <w:sz w:val="24"/>
          <w:szCs w:val="24"/>
          <w:lang w:val="en-GB"/>
        </w:rPr>
        <w:t xml:space="preserve">a </w:t>
      </w:r>
      <w:r w:rsidR="00BA502E">
        <w:rPr>
          <w:sz w:val="24"/>
          <w:szCs w:val="24"/>
          <w:lang w:val="en-GB"/>
        </w:rPr>
        <w:t>massive leap</w:t>
      </w:r>
      <w:r w:rsidR="008830E9" w:rsidRPr="007E64B9">
        <w:rPr>
          <w:sz w:val="24"/>
          <w:szCs w:val="24"/>
          <w:lang w:val="en-GB"/>
        </w:rPr>
        <w:t xml:space="preserve"> in terms of quality</w:t>
      </w:r>
      <w:r w:rsidR="00867470" w:rsidRPr="007E64B9">
        <w:rPr>
          <w:sz w:val="24"/>
          <w:szCs w:val="24"/>
          <w:lang w:val="en-GB"/>
        </w:rPr>
        <w:t xml:space="preserve">. </w:t>
      </w:r>
      <w:r w:rsidR="008830E9" w:rsidRPr="007E64B9">
        <w:rPr>
          <w:sz w:val="24"/>
          <w:szCs w:val="24"/>
          <w:lang w:val="en-GB"/>
        </w:rPr>
        <w:t xml:space="preserve">A </w:t>
      </w:r>
      <w:r w:rsidR="00BA502E">
        <w:rPr>
          <w:sz w:val="24"/>
          <w:szCs w:val="24"/>
          <w:lang w:val="en-GB"/>
        </w:rPr>
        <w:t xml:space="preserve">concerted </w:t>
      </w:r>
      <w:r w:rsidR="008830E9" w:rsidRPr="007E64B9">
        <w:rPr>
          <w:sz w:val="24"/>
          <w:szCs w:val="24"/>
          <w:lang w:val="en-GB"/>
        </w:rPr>
        <w:t xml:space="preserve">strategy, </w:t>
      </w:r>
      <w:r w:rsidR="00BA502E">
        <w:rPr>
          <w:sz w:val="24"/>
          <w:szCs w:val="24"/>
          <w:lang w:val="en-GB"/>
        </w:rPr>
        <w:t xml:space="preserve">and our response to </w:t>
      </w:r>
      <w:r w:rsidR="008830E9" w:rsidRPr="007E64B9">
        <w:rPr>
          <w:sz w:val="24"/>
          <w:szCs w:val="24"/>
          <w:lang w:val="en-GB"/>
        </w:rPr>
        <w:t xml:space="preserve">the questions and comments </w:t>
      </w:r>
      <w:r w:rsidR="00BA502E">
        <w:rPr>
          <w:sz w:val="24"/>
          <w:szCs w:val="24"/>
          <w:lang w:val="en-GB"/>
        </w:rPr>
        <w:t xml:space="preserve">of </w:t>
      </w:r>
      <w:r w:rsidRPr="007E64B9">
        <w:rPr>
          <w:sz w:val="24"/>
          <w:szCs w:val="24"/>
          <w:lang w:val="en-GB"/>
        </w:rPr>
        <w:t xml:space="preserve">the </w:t>
      </w:r>
      <w:r w:rsidR="008830E9" w:rsidRPr="007E64B9">
        <w:rPr>
          <w:sz w:val="24"/>
          <w:szCs w:val="24"/>
          <w:lang w:val="en-GB"/>
        </w:rPr>
        <w:t>loyal exhibitors from</w:t>
      </w:r>
      <w:r w:rsidR="00467101">
        <w:rPr>
          <w:sz w:val="24"/>
          <w:szCs w:val="24"/>
          <w:lang w:val="en-GB"/>
        </w:rPr>
        <w:t xml:space="preserve"> this section</w:t>
      </w:r>
      <w:r w:rsidR="008830E9" w:rsidRPr="007E64B9">
        <w:rPr>
          <w:sz w:val="24"/>
          <w:szCs w:val="24"/>
          <w:lang w:val="en-GB"/>
        </w:rPr>
        <w:t xml:space="preserve">. </w:t>
      </w:r>
      <w:r w:rsidR="007E64B9" w:rsidRPr="007E64B9">
        <w:rPr>
          <w:sz w:val="24"/>
          <w:szCs w:val="24"/>
          <w:lang w:val="en-GB"/>
        </w:rPr>
        <w:t xml:space="preserve">A good example </w:t>
      </w:r>
      <w:r w:rsidR="00BA502E">
        <w:rPr>
          <w:sz w:val="24"/>
          <w:szCs w:val="24"/>
          <w:lang w:val="en-GB"/>
        </w:rPr>
        <w:t xml:space="preserve">being the </w:t>
      </w:r>
      <w:r w:rsidR="008830E9" w:rsidRPr="007E64B9">
        <w:rPr>
          <w:sz w:val="24"/>
          <w:szCs w:val="24"/>
          <w:lang w:val="en-GB"/>
        </w:rPr>
        <w:t xml:space="preserve">presence of </w:t>
      </w:r>
      <w:r w:rsidRPr="007E64B9">
        <w:rPr>
          <w:sz w:val="24"/>
          <w:szCs w:val="24"/>
          <w:lang w:val="en-GB"/>
        </w:rPr>
        <w:t xml:space="preserve">several </w:t>
      </w:r>
      <w:r w:rsidR="008830E9" w:rsidRPr="007E64B9">
        <w:rPr>
          <w:sz w:val="24"/>
          <w:szCs w:val="24"/>
          <w:lang w:val="en-GB"/>
        </w:rPr>
        <w:t>quality brands from Ukraine and the Lodz region</w:t>
      </w:r>
      <w:r w:rsidR="00F458C1">
        <w:rPr>
          <w:sz w:val="24"/>
          <w:szCs w:val="24"/>
          <w:lang w:val="en-GB"/>
        </w:rPr>
        <w:t xml:space="preserve"> </w:t>
      </w:r>
      <w:r w:rsidR="00F458C1" w:rsidRPr="007E64B9">
        <w:rPr>
          <w:sz w:val="24"/>
          <w:szCs w:val="24"/>
          <w:lang w:val="en-GB"/>
        </w:rPr>
        <w:t>(Poland)</w:t>
      </w:r>
      <w:r w:rsidR="004057B9" w:rsidRPr="007E64B9">
        <w:rPr>
          <w:sz w:val="24"/>
          <w:szCs w:val="24"/>
          <w:lang w:val="en-GB"/>
        </w:rPr>
        <w:t xml:space="preserve">. </w:t>
      </w:r>
    </w:p>
    <w:p w14:paraId="4328FE77" w14:textId="77777777" w:rsidR="00C56D1C" w:rsidRDefault="00C56D1C" w:rsidP="008830E9">
      <w:pPr>
        <w:jc w:val="both"/>
        <w:rPr>
          <w:sz w:val="24"/>
          <w:szCs w:val="24"/>
          <w:lang w:val="en-GB"/>
        </w:rPr>
      </w:pPr>
    </w:p>
    <w:p w14:paraId="31E9561C" w14:textId="77777777" w:rsidR="00EC62A2" w:rsidRPr="007E64B9" w:rsidRDefault="00EC62A2" w:rsidP="008830E9">
      <w:pPr>
        <w:jc w:val="both"/>
        <w:rPr>
          <w:sz w:val="24"/>
          <w:szCs w:val="24"/>
          <w:lang w:val="en-GB"/>
        </w:rPr>
      </w:pPr>
    </w:p>
    <w:p w14:paraId="4EFFC5E9" w14:textId="40634D67" w:rsidR="008830E9" w:rsidRPr="007E64B9" w:rsidRDefault="008830E9" w:rsidP="008830E9">
      <w:pPr>
        <w:jc w:val="both"/>
        <w:rPr>
          <w:b/>
          <w:bCs/>
          <w:sz w:val="24"/>
          <w:szCs w:val="24"/>
          <w:lang w:val="en-GB"/>
        </w:rPr>
      </w:pPr>
      <w:r w:rsidRPr="007E64B9">
        <w:rPr>
          <w:b/>
          <w:bCs/>
          <w:sz w:val="24"/>
          <w:szCs w:val="24"/>
          <w:lang w:val="en-GB"/>
        </w:rPr>
        <w:lastRenderedPageBreak/>
        <w:t xml:space="preserve">Future </w:t>
      </w:r>
      <w:r w:rsidR="00F75BC9">
        <w:rPr>
          <w:b/>
          <w:bCs/>
          <w:sz w:val="24"/>
          <w:szCs w:val="24"/>
          <w:lang w:val="en-GB"/>
        </w:rPr>
        <w:t>v</w:t>
      </w:r>
      <w:r w:rsidRPr="007E64B9">
        <w:rPr>
          <w:b/>
          <w:bCs/>
          <w:sz w:val="24"/>
          <w:szCs w:val="24"/>
          <w:lang w:val="en-GB"/>
        </w:rPr>
        <w:t>ision</w:t>
      </w:r>
    </w:p>
    <w:p w14:paraId="55E6A062" w14:textId="23DE0D4A" w:rsidR="008830E9" w:rsidRPr="007E64B9" w:rsidRDefault="00F25F7C" w:rsidP="008830E9">
      <w:pPr>
        <w:jc w:val="both"/>
        <w:rPr>
          <w:sz w:val="24"/>
          <w:szCs w:val="24"/>
          <w:lang w:val="en-GB"/>
        </w:rPr>
      </w:pPr>
      <w:r w:rsidRPr="007E64B9">
        <w:rPr>
          <w:sz w:val="24"/>
          <w:szCs w:val="24"/>
          <w:lang w:val="en-GB"/>
        </w:rPr>
        <w:t xml:space="preserve">As is customary, we </w:t>
      </w:r>
      <w:r w:rsidR="00BA502E">
        <w:rPr>
          <w:sz w:val="24"/>
          <w:szCs w:val="24"/>
          <w:lang w:val="en-GB"/>
        </w:rPr>
        <w:t xml:space="preserve">conclude </w:t>
      </w:r>
      <w:r w:rsidRPr="007E64B9">
        <w:rPr>
          <w:sz w:val="24"/>
          <w:szCs w:val="24"/>
          <w:lang w:val="en-GB"/>
        </w:rPr>
        <w:t xml:space="preserve">by </w:t>
      </w:r>
      <w:r w:rsidR="008830E9" w:rsidRPr="007E64B9">
        <w:rPr>
          <w:sz w:val="24"/>
          <w:szCs w:val="24"/>
          <w:lang w:val="en-GB"/>
        </w:rPr>
        <w:t xml:space="preserve">looking to the future. What can </w:t>
      </w:r>
      <w:r w:rsidR="00C05A92">
        <w:rPr>
          <w:sz w:val="24"/>
          <w:szCs w:val="24"/>
          <w:lang w:val="en-GB"/>
        </w:rPr>
        <w:t xml:space="preserve">you </w:t>
      </w:r>
      <w:r w:rsidR="008830E9" w:rsidRPr="007E64B9">
        <w:rPr>
          <w:sz w:val="24"/>
          <w:szCs w:val="24"/>
          <w:lang w:val="en-GB"/>
        </w:rPr>
        <w:t xml:space="preserve">expect </w:t>
      </w:r>
      <w:r w:rsidRPr="007E64B9">
        <w:rPr>
          <w:sz w:val="24"/>
          <w:szCs w:val="24"/>
          <w:lang w:val="en-GB"/>
        </w:rPr>
        <w:t xml:space="preserve">from the </w:t>
      </w:r>
      <w:r w:rsidR="008830E9" w:rsidRPr="007E64B9">
        <w:rPr>
          <w:sz w:val="24"/>
          <w:szCs w:val="24"/>
          <w:lang w:val="en-GB"/>
        </w:rPr>
        <w:t xml:space="preserve">Furniture Fair </w:t>
      </w:r>
      <w:r w:rsidRPr="007E64B9">
        <w:rPr>
          <w:sz w:val="24"/>
          <w:szCs w:val="24"/>
          <w:lang w:val="en-GB"/>
        </w:rPr>
        <w:t xml:space="preserve">in </w:t>
      </w:r>
      <w:r w:rsidR="008830E9" w:rsidRPr="007E64B9">
        <w:rPr>
          <w:sz w:val="24"/>
          <w:szCs w:val="24"/>
          <w:lang w:val="en-GB"/>
        </w:rPr>
        <w:t>2025?</w:t>
      </w:r>
    </w:p>
    <w:p w14:paraId="7819A5D9" w14:textId="08BE0120" w:rsidR="009B33DF" w:rsidRPr="007E64B9" w:rsidRDefault="008830E9" w:rsidP="008830E9">
      <w:pPr>
        <w:jc w:val="both"/>
        <w:rPr>
          <w:sz w:val="24"/>
          <w:szCs w:val="24"/>
          <w:lang w:val="en-GB"/>
        </w:rPr>
      </w:pPr>
      <w:r w:rsidRPr="007E64B9">
        <w:rPr>
          <w:sz w:val="24"/>
          <w:szCs w:val="24"/>
          <w:lang w:val="en-GB"/>
        </w:rPr>
        <w:t>The next edition of the Brussels Furniture Fair will take place from 2 to 5 November 2025</w:t>
      </w:r>
      <w:r w:rsidR="009B33DF" w:rsidRPr="007E64B9">
        <w:rPr>
          <w:sz w:val="24"/>
          <w:szCs w:val="24"/>
          <w:lang w:val="en-GB"/>
        </w:rPr>
        <w:t>.</w:t>
      </w:r>
    </w:p>
    <w:p w14:paraId="7C3B3D16" w14:textId="353B30D1" w:rsidR="00C56D1C" w:rsidRPr="007E64B9" w:rsidRDefault="008830E9" w:rsidP="008830E9">
      <w:pPr>
        <w:jc w:val="both"/>
        <w:rPr>
          <w:sz w:val="24"/>
          <w:szCs w:val="24"/>
          <w:lang w:val="en-GB"/>
        </w:rPr>
      </w:pPr>
      <w:r w:rsidRPr="007E64B9">
        <w:rPr>
          <w:sz w:val="24"/>
          <w:szCs w:val="24"/>
          <w:lang w:val="en-GB"/>
        </w:rPr>
        <w:t>The Furniture Fair</w:t>
      </w:r>
      <w:r w:rsidR="00BA502E">
        <w:rPr>
          <w:sz w:val="24"/>
          <w:szCs w:val="24"/>
          <w:lang w:val="en-GB"/>
        </w:rPr>
        <w:t xml:space="preserve"> stands for </w:t>
      </w:r>
      <w:r w:rsidR="00F458C1">
        <w:rPr>
          <w:sz w:val="24"/>
          <w:szCs w:val="24"/>
          <w:lang w:val="en-GB"/>
        </w:rPr>
        <w:t>confidence</w:t>
      </w:r>
      <w:r w:rsidRPr="007E64B9">
        <w:rPr>
          <w:sz w:val="24"/>
          <w:szCs w:val="24"/>
          <w:lang w:val="en-GB"/>
        </w:rPr>
        <w:t xml:space="preserve">, efficiency and good business in an atmospheric environment. </w:t>
      </w:r>
      <w:r w:rsidR="003637E0">
        <w:rPr>
          <w:sz w:val="24"/>
          <w:szCs w:val="24"/>
          <w:lang w:val="en-GB"/>
        </w:rPr>
        <w:t xml:space="preserve">It is no coincidence that we </w:t>
      </w:r>
      <w:r w:rsidR="00467101">
        <w:rPr>
          <w:sz w:val="24"/>
          <w:szCs w:val="24"/>
          <w:lang w:val="en-GB"/>
        </w:rPr>
        <w:t xml:space="preserve">end on the </w:t>
      </w:r>
      <w:r w:rsidR="003637E0">
        <w:rPr>
          <w:sz w:val="24"/>
          <w:szCs w:val="24"/>
          <w:lang w:val="en-GB"/>
        </w:rPr>
        <w:t xml:space="preserve">same sentence as in the </w:t>
      </w:r>
      <w:r w:rsidRPr="007E64B9">
        <w:rPr>
          <w:sz w:val="24"/>
          <w:szCs w:val="24"/>
          <w:lang w:val="en-GB"/>
        </w:rPr>
        <w:t>2023 press kit</w:t>
      </w:r>
      <w:r w:rsidR="003637E0">
        <w:rPr>
          <w:sz w:val="24"/>
          <w:szCs w:val="24"/>
          <w:lang w:val="en-GB"/>
        </w:rPr>
        <w:t xml:space="preserve">, for there are no better words to describe the essence of the </w:t>
      </w:r>
      <w:r w:rsidRPr="007E64B9">
        <w:rPr>
          <w:sz w:val="24"/>
          <w:szCs w:val="24"/>
          <w:lang w:val="en-GB"/>
        </w:rPr>
        <w:t xml:space="preserve">Brussels </w:t>
      </w:r>
      <w:r w:rsidR="003637E0">
        <w:rPr>
          <w:sz w:val="24"/>
          <w:szCs w:val="24"/>
          <w:lang w:val="en-GB"/>
        </w:rPr>
        <w:t>F</w:t>
      </w:r>
      <w:r w:rsidRPr="007E64B9">
        <w:rPr>
          <w:sz w:val="24"/>
          <w:szCs w:val="24"/>
          <w:lang w:val="en-GB"/>
        </w:rPr>
        <w:t xml:space="preserve">air. Our roots are deep and we </w:t>
      </w:r>
      <w:r w:rsidR="00467101">
        <w:rPr>
          <w:sz w:val="24"/>
          <w:szCs w:val="24"/>
          <w:lang w:val="en-GB"/>
        </w:rPr>
        <w:t xml:space="preserve">are </w:t>
      </w:r>
      <w:r w:rsidR="00C05A92">
        <w:rPr>
          <w:sz w:val="24"/>
          <w:szCs w:val="24"/>
          <w:lang w:val="en-GB"/>
        </w:rPr>
        <w:t xml:space="preserve">constantly </w:t>
      </w:r>
      <w:r w:rsidR="003637E0">
        <w:rPr>
          <w:sz w:val="24"/>
          <w:szCs w:val="24"/>
          <w:lang w:val="en-GB"/>
        </w:rPr>
        <w:t>evolv</w:t>
      </w:r>
      <w:r w:rsidR="00467101">
        <w:rPr>
          <w:sz w:val="24"/>
          <w:szCs w:val="24"/>
          <w:lang w:val="en-GB"/>
        </w:rPr>
        <w:t>ing</w:t>
      </w:r>
      <w:r w:rsidR="003637E0">
        <w:rPr>
          <w:sz w:val="24"/>
          <w:szCs w:val="24"/>
          <w:lang w:val="en-GB"/>
        </w:rPr>
        <w:t>.</w:t>
      </w:r>
    </w:p>
    <w:sectPr w:rsidR="00C56D1C" w:rsidRPr="007E64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93BA7"/>
    <w:multiLevelType w:val="hybridMultilevel"/>
    <w:tmpl w:val="76D09F6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DA1181C"/>
    <w:multiLevelType w:val="hybridMultilevel"/>
    <w:tmpl w:val="CDCC916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2BE42B2"/>
    <w:multiLevelType w:val="hybridMultilevel"/>
    <w:tmpl w:val="C0A048D6"/>
    <w:lvl w:ilvl="0" w:tplc="CD523F0E">
      <w:start w:val="1"/>
      <w:numFmt w:val="bullet"/>
      <w:lvlText w:val=""/>
      <w:lvlJc w:val="left"/>
      <w:pPr>
        <w:ind w:left="720" w:hanging="360"/>
      </w:pPr>
      <w:rPr>
        <w:rFonts w:ascii="Symbol" w:hAnsi="Symbol" w:hint="default"/>
      </w:rPr>
    </w:lvl>
    <w:lvl w:ilvl="1" w:tplc="685E5F70" w:tentative="1">
      <w:start w:val="1"/>
      <w:numFmt w:val="bullet"/>
      <w:lvlText w:val="o"/>
      <w:lvlJc w:val="left"/>
      <w:pPr>
        <w:ind w:left="1440" w:hanging="360"/>
      </w:pPr>
      <w:rPr>
        <w:rFonts w:ascii="Courier New" w:hAnsi="Courier New" w:cs="Courier New" w:hint="default"/>
      </w:rPr>
    </w:lvl>
    <w:lvl w:ilvl="2" w:tplc="A998C152" w:tentative="1">
      <w:start w:val="1"/>
      <w:numFmt w:val="bullet"/>
      <w:lvlText w:val=""/>
      <w:lvlJc w:val="left"/>
      <w:pPr>
        <w:ind w:left="2160" w:hanging="360"/>
      </w:pPr>
      <w:rPr>
        <w:rFonts w:ascii="Wingdings" w:hAnsi="Wingdings" w:hint="default"/>
      </w:rPr>
    </w:lvl>
    <w:lvl w:ilvl="3" w:tplc="1BD2C2C4" w:tentative="1">
      <w:start w:val="1"/>
      <w:numFmt w:val="bullet"/>
      <w:lvlText w:val=""/>
      <w:lvlJc w:val="left"/>
      <w:pPr>
        <w:ind w:left="2880" w:hanging="360"/>
      </w:pPr>
      <w:rPr>
        <w:rFonts w:ascii="Symbol" w:hAnsi="Symbol" w:hint="default"/>
      </w:rPr>
    </w:lvl>
    <w:lvl w:ilvl="4" w:tplc="9048933A" w:tentative="1">
      <w:start w:val="1"/>
      <w:numFmt w:val="bullet"/>
      <w:lvlText w:val="o"/>
      <w:lvlJc w:val="left"/>
      <w:pPr>
        <w:ind w:left="3600" w:hanging="360"/>
      </w:pPr>
      <w:rPr>
        <w:rFonts w:ascii="Courier New" w:hAnsi="Courier New" w:cs="Courier New" w:hint="default"/>
      </w:rPr>
    </w:lvl>
    <w:lvl w:ilvl="5" w:tplc="AFF4A130" w:tentative="1">
      <w:start w:val="1"/>
      <w:numFmt w:val="bullet"/>
      <w:lvlText w:val=""/>
      <w:lvlJc w:val="left"/>
      <w:pPr>
        <w:ind w:left="4320" w:hanging="360"/>
      </w:pPr>
      <w:rPr>
        <w:rFonts w:ascii="Wingdings" w:hAnsi="Wingdings" w:hint="default"/>
      </w:rPr>
    </w:lvl>
    <w:lvl w:ilvl="6" w:tplc="23B2BD6E" w:tentative="1">
      <w:start w:val="1"/>
      <w:numFmt w:val="bullet"/>
      <w:lvlText w:val=""/>
      <w:lvlJc w:val="left"/>
      <w:pPr>
        <w:ind w:left="5040" w:hanging="360"/>
      </w:pPr>
      <w:rPr>
        <w:rFonts w:ascii="Symbol" w:hAnsi="Symbol" w:hint="default"/>
      </w:rPr>
    </w:lvl>
    <w:lvl w:ilvl="7" w:tplc="A6F6AD2C" w:tentative="1">
      <w:start w:val="1"/>
      <w:numFmt w:val="bullet"/>
      <w:lvlText w:val="o"/>
      <w:lvlJc w:val="left"/>
      <w:pPr>
        <w:ind w:left="5760" w:hanging="360"/>
      </w:pPr>
      <w:rPr>
        <w:rFonts w:ascii="Courier New" w:hAnsi="Courier New" w:cs="Courier New" w:hint="default"/>
      </w:rPr>
    </w:lvl>
    <w:lvl w:ilvl="8" w:tplc="DFE03900" w:tentative="1">
      <w:start w:val="1"/>
      <w:numFmt w:val="bullet"/>
      <w:lvlText w:val=""/>
      <w:lvlJc w:val="left"/>
      <w:pPr>
        <w:ind w:left="6480" w:hanging="360"/>
      </w:pPr>
      <w:rPr>
        <w:rFonts w:ascii="Wingdings" w:hAnsi="Wingdings" w:hint="default"/>
      </w:rPr>
    </w:lvl>
  </w:abstractNum>
  <w:abstractNum w:abstractNumId="3" w15:restartNumberingAfterBreak="0">
    <w:nsid w:val="19BD15BE"/>
    <w:multiLevelType w:val="hybridMultilevel"/>
    <w:tmpl w:val="001ECDA2"/>
    <w:lvl w:ilvl="0" w:tplc="17AA514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D0F0626"/>
    <w:multiLevelType w:val="hybridMultilevel"/>
    <w:tmpl w:val="D2B033A0"/>
    <w:lvl w:ilvl="0" w:tplc="E7681AB4">
      <w:start w:val="1"/>
      <w:numFmt w:val="bullet"/>
      <w:lvlText w:val="-"/>
      <w:lvlJc w:val="left"/>
      <w:pPr>
        <w:ind w:left="720" w:hanging="360"/>
      </w:pPr>
      <w:rPr>
        <w:rFonts w:ascii="Aptos" w:eastAsiaTheme="minorHAnsi" w:hAnsi="Aptos"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353610D"/>
    <w:multiLevelType w:val="multilevel"/>
    <w:tmpl w:val="D2D02F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9240573"/>
    <w:multiLevelType w:val="hybridMultilevel"/>
    <w:tmpl w:val="2FC4BCF0"/>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3447505B"/>
    <w:multiLevelType w:val="multilevel"/>
    <w:tmpl w:val="E42A9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0982C07"/>
    <w:multiLevelType w:val="multilevel"/>
    <w:tmpl w:val="8F44A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26F3466"/>
    <w:multiLevelType w:val="hybridMultilevel"/>
    <w:tmpl w:val="9E42B708"/>
    <w:lvl w:ilvl="0" w:tplc="00785AEC">
      <w:start w:val="3"/>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0" w15:restartNumberingAfterBreak="0">
    <w:nsid w:val="54FE688F"/>
    <w:multiLevelType w:val="hybridMultilevel"/>
    <w:tmpl w:val="3A8A28D6"/>
    <w:lvl w:ilvl="0" w:tplc="080C000F">
      <w:start w:val="1"/>
      <w:numFmt w:val="decimal"/>
      <w:lvlText w:val="%1."/>
      <w:lvlJc w:val="left"/>
      <w:pPr>
        <w:ind w:left="785" w:hanging="360"/>
      </w:pPr>
      <w:rPr>
        <w:rFonts w:hint="default"/>
      </w:rPr>
    </w:lvl>
    <w:lvl w:ilvl="1" w:tplc="080C0019" w:tentative="1">
      <w:start w:val="1"/>
      <w:numFmt w:val="lowerLetter"/>
      <w:lvlText w:val="%2."/>
      <w:lvlJc w:val="left"/>
      <w:pPr>
        <w:ind w:left="1505" w:hanging="360"/>
      </w:pPr>
    </w:lvl>
    <w:lvl w:ilvl="2" w:tplc="080C001B" w:tentative="1">
      <w:start w:val="1"/>
      <w:numFmt w:val="lowerRoman"/>
      <w:lvlText w:val="%3."/>
      <w:lvlJc w:val="right"/>
      <w:pPr>
        <w:ind w:left="2225" w:hanging="180"/>
      </w:pPr>
    </w:lvl>
    <w:lvl w:ilvl="3" w:tplc="080C000F" w:tentative="1">
      <w:start w:val="1"/>
      <w:numFmt w:val="decimal"/>
      <w:lvlText w:val="%4."/>
      <w:lvlJc w:val="left"/>
      <w:pPr>
        <w:ind w:left="2945" w:hanging="360"/>
      </w:pPr>
    </w:lvl>
    <w:lvl w:ilvl="4" w:tplc="080C0019" w:tentative="1">
      <w:start w:val="1"/>
      <w:numFmt w:val="lowerLetter"/>
      <w:lvlText w:val="%5."/>
      <w:lvlJc w:val="left"/>
      <w:pPr>
        <w:ind w:left="3665" w:hanging="360"/>
      </w:pPr>
    </w:lvl>
    <w:lvl w:ilvl="5" w:tplc="080C001B" w:tentative="1">
      <w:start w:val="1"/>
      <w:numFmt w:val="lowerRoman"/>
      <w:lvlText w:val="%6."/>
      <w:lvlJc w:val="right"/>
      <w:pPr>
        <w:ind w:left="4385" w:hanging="180"/>
      </w:pPr>
    </w:lvl>
    <w:lvl w:ilvl="6" w:tplc="080C000F" w:tentative="1">
      <w:start w:val="1"/>
      <w:numFmt w:val="decimal"/>
      <w:lvlText w:val="%7."/>
      <w:lvlJc w:val="left"/>
      <w:pPr>
        <w:ind w:left="5105" w:hanging="360"/>
      </w:pPr>
    </w:lvl>
    <w:lvl w:ilvl="7" w:tplc="080C0019" w:tentative="1">
      <w:start w:val="1"/>
      <w:numFmt w:val="lowerLetter"/>
      <w:lvlText w:val="%8."/>
      <w:lvlJc w:val="left"/>
      <w:pPr>
        <w:ind w:left="5825" w:hanging="360"/>
      </w:pPr>
    </w:lvl>
    <w:lvl w:ilvl="8" w:tplc="080C001B" w:tentative="1">
      <w:start w:val="1"/>
      <w:numFmt w:val="lowerRoman"/>
      <w:lvlText w:val="%9."/>
      <w:lvlJc w:val="right"/>
      <w:pPr>
        <w:ind w:left="6545" w:hanging="180"/>
      </w:pPr>
    </w:lvl>
  </w:abstractNum>
  <w:abstractNum w:abstractNumId="11" w15:restartNumberingAfterBreak="0">
    <w:nsid w:val="60DF1E61"/>
    <w:multiLevelType w:val="hybridMultilevel"/>
    <w:tmpl w:val="3C72410E"/>
    <w:lvl w:ilvl="0" w:tplc="1EB0AF8C">
      <w:start w:val="1"/>
      <w:numFmt w:val="bullet"/>
      <w:lvlText w:val=""/>
      <w:lvlJc w:val="left"/>
      <w:pPr>
        <w:ind w:left="720" w:hanging="360"/>
      </w:pPr>
      <w:rPr>
        <w:rFonts w:ascii="Symbol" w:hAnsi="Symbol" w:hint="default"/>
      </w:rPr>
    </w:lvl>
    <w:lvl w:ilvl="1" w:tplc="3230C31A" w:tentative="1">
      <w:start w:val="1"/>
      <w:numFmt w:val="bullet"/>
      <w:lvlText w:val="o"/>
      <w:lvlJc w:val="left"/>
      <w:pPr>
        <w:ind w:left="1440" w:hanging="360"/>
      </w:pPr>
      <w:rPr>
        <w:rFonts w:ascii="Courier New" w:hAnsi="Courier New" w:cs="Courier New" w:hint="default"/>
      </w:rPr>
    </w:lvl>
    <w:lvl w:ilvl="2" w:tplc="437A14F0" w:tentative="1">
      <w:start w:val="1"/>
      <w:numFmt w:val="bullet"/>
      <w:lvlText w:val=""/>
      <w:lvlJc w:val="left"/>
      <w:pPr>
        <w:ind w:left="2160" w:hanging="360"/>
      </w:pPr>
      <w:rPr>
        <w:rFonts w:ascii="Wingdings" w:hAnsi="Wingdings" w:hint="default"/>
      </w:rPr>
    </w:lvl>
    <w:lvl w:ilvl="3" w:tplc="BBF8A2E2" w:tentative="1">
      <w:start w:val="1"/>
      <w:numFmt w:val="bullet"/>
      <w:lvlText w:val=""/>
      <w:lvlJc w:val="left"/>
      <w:pPr>
        <w:ind w:left="2880" w:hanging="360"/>
      </w:pPr>
      <w:rPr>
        <w:rFonts w:ascii="Symbol" w:hAnsi="Symbol" w:hint="default"/>
      </w:rPr>
    </w:lvl>
    <w:lvl w:ilvl="4" w:tplc="3FFAE904" w:tentative="1">
      <w:start w:val="1"/>
      <w:numFmt w:val="bullet"/>
      <w:lvlText w:val="o"/>
      <w:lvlJc w:val="left"/>
      <w:pPr>
        <w:ind w:left="3600" w:hanging="360"/>
      </w:pPr>
      <w:rPr>
        <w:rFonts w:ascii="Courier New" w:hAnsi="Courier New" w:cs="Courier New" w:hint="default"/>
      </w:rPr>
    </w:lvl>
    <w:lvl w:ilvl="5" w:tplc="E6E6C4F8" w:tentative="1">
      <w:start w:val="1"/>
      <w:numFmt w:val="bullet"/>
      <w:lvlText w:val=""/>
      <w:lvlJc w:val="left"/>
      <w:pPr>
        <w:ind w:left="4320" w:hanging="360"/>
      </w:pPr>
      <w:rPr>
        <w:rFonts w:ascii="Wingdings" w:hAnsi="Wingdings" w:hint="default"/>
      </w:rPr>
    </w:lvl>
    <w:lvl w:ilvl="6" w:tplc="05E4555C" w:tentative="1">
      <w:start w:val="1"/>
      <w:numFmt w:val="bullet"/>
      <w:lvlText w:val=""/>
      <w:lvlJc w:val="left"/>
      <w:pPr>
        <w:ind w:left="5040" w:hanging="360"/>
      </w:pPr>
      <w:rPr>
        <w:rFonts w:ascii="Symbol" w:hAnsi="Symbol" w:hint="default"/>
      </w:rPr>
    </w:lvl>
    <w:lvl w:ilvl="7" w:tplc="FFAAAAF6" w:tentative="1">
      <w:start w:val="1"/>
      <w:numFmt w:val="bullet"/>
      <w:lvlText w:val="o"/>
      <w:lvlJc w:val="left"/>
      <w:pPr>
        <w:ind w:left="5760" w:hanging="360"/>
      </w:pPr>
      <w:rPr>
        <w:rFonts w:ascii="Courier New" w:hAnsi="Courier New" w:cs="Courier New" w:hint="default"/>
      </w:rPr>
    </w:lvl>
    <w:lvl w:ilvl="8" w:tplc="5450EDAA" w:tentative="1">
      <w:start w:val="1"/>
      <w:numFmt w:val="bullet"/>
      <w:lvlText w:val=""/>
      <w:lvlJc w:val="left"/>
      <w:pPr>
        <w:ind w:left="6480" w:hanging="360"/>
      </w:pPr>
      <w:rPr>
        <w:rFonts w:ascii="Wingdings" w:hAnsi="Wingdings" w:hint="default"/>
      </w:rPr>
    </w:lvl>
  </w:abstractNum>
  <w:abstractNum w:abstractNumId="12" w15:restartNumberingAfterBreak="0">
    <w:nsid w:val="6A5F7EB6"/>
    <w:multiLevelType w:val="hybridMultilevel"/>
    <w:tmpl w:val="51C2D5B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733F1561"/>
    <w:multiLevelType w:val="hybridMultilevel"/>
    <w:tmpl w:val="EFFC524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397094939">
    <w:abstractNumId w:val="12"/>
  </w:num>
  <w:num w:numId="2" w16cid:durableId="1676877184">
    <w:abstractNumId w:val="1"/>
  </w:num>
  <w:num w:numId="3" w16cid:durableId="134299536">
    <w:abstractNumId w:val="0"/>
  </w:num>
  <w:num w:numId="4" w16cid:durableId="63988108">
    <w:abstractNumId w:val="13"/>
  </w:num>
  <w:num w:numId="5" w16cid:durableId="2087459260">
    <w:abstractNumId w:val="4"/>
  </w:num>
  <w:num w:numId="6" w16cid:durableId="997151719">
    <w:abstractNumId w:val="3"/>
  </w:num>
  <w:num w:numId="7" w16cid:durableId="1659261807">
    <w:abstractNumId w:val="10"/>
  </w:num>
  <w:num w:numId="8" w16cid:durableId="666052624">
    <w:abstractNumId w:val="6"/>
  </w:num>
  <w:num w:numId="9" w16cid:durableId="1288469015">
    <w:abstractNumId w:val="5"/>
  </w:num>
  <w:num w:numId="10" w16cid:durableId="1807777430">
    <w:abstractNumId w:val="8"/>
  </w:num>
  <w:num w:numId="11" w16cid:durableId="672798519">
    <w:abstractNumId w:val="7"/>
  </w:num>
  <w:num w:numId="12" w16cid:durableId="2073506327">
    <w:abstractNumId w:val="11"/>
  </w:num>
  <w:num w:numId="13" w16cid:durableId="374014303">
    <w:abstractNumId w:val="2"/>
  </w:num>
  <w:num w:numId="14" w16cid:durableId="10743974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5B8"/>
    <w:rsid w:val="00011EE6"/>
    <w:rsid w:val="00064C73"/>
    <w:rsid w:val="000B1CB9"/>
    <w:rsid w:val="000B5BE7"/>
    <w:rsid w:val="000E620D"/>
    <w:rsid w:val="00105B28"/>
    <w:rsid w:val="0012172B"/>
    <w:rsid w:val="00171CB6"/>
    <w:rsid w:val="001824C8"/>
    <w:rsid w:val="0020707C"/>
    <w:rsid w:val="002456BD"/>
    <w:rsid w:val="002711EF"/>
    <w:rsid w:val="002A0C22"/>
    <w:rsid w:val="002C518D"/>
    <w:rsid w:val="002F5E50"/>
    <w:rsid w:val="002F6D1B"/>
    <w:rsid w:val="003637E0"/>
    <w:rsid w:val="00365AAB"/>
    <w:rsid w:val="00371772"/>
    <w:rsid w:val="003801E9"/>
    <w:rsid w:val="003A4EB9"/>
    <w:rsid w:val="003D7C68"/>
    <w:rsid w:val="003E1FE3"/>
    <w:rsid w:val="004057B9"/>
    <w:rsid w:val="00415248"/>
    <w:rsid w:val="00423C60"/>
    <w:rsid w:val="00467101"/>
    <w:rsid w:val="004674F7"/>
    <w:rsid w:val="00467EE1"/>
    <w:rsid w:val="00476192"/>
    <w:rsid w:val="0047756F"/>
    <w:rsid w:val="004968FD"/>
    <w:rsid w:val="004A0A12"/>
    <w:rsid w:val="004C03C4"/>
    <w:rsid w:val="004D5C96"/>
    <w:rsid w:val="004F40E9"/>
    <w:rsid w:val="005010A5"/>
    <w:rsid w:val="00512932"/>
    <w:rsid w:val="00525959"/>
    <w:rsid w:val="006835AA"/>
    <w:rsid w:val="006D25B8"/>
    <w:rsid w:val="006F024E"/>
    <w:rsid w:val="0072267C"/>
    <w:rsid w:val="00746A29"/>
    <w:rsid w:val="00746F9A"/>
    <w:rsid w:val="007608AB"/>
    <w:rsid w:val="007C4174"/>
    <w:rsid w:val="007E64B9"/>
    <w:rsid w:val="008551FD"/>
    <w:rsid w:val="008604D2"/>
    <w:rsid w:val="00864E69"/>
    <w:rsid w:val="00867470"/>
    <w:rsid w:val="008830E9"/>
    <w:rsid w:val="008C219C"/>
    <w:rsid w:val="009231A7"/>
    <w:rsid w:val="009403F1"/>
    <w:rsid w:val="00947728"/>
    <w:rsid w:val="009B33DF"/>
    <w:rsid w:val="009B3845"/>
    <w:rsid w:val="009F3C46"/>
    <w:rsid w:val="009F6194"/>
    <w:rsid w:val="00A06A52"/>
    <w:rsid w:val="00A4509E"/>
    <w:rsid w:val="00A51B1D"/>
    <w:rsid w:val="00AF1902"/>
    <w:rsid w:val="00AF50C9"/>
    <w:rsid w:val="00B51D60"/>
    <w:rsid w:val="00B56008"/>
    <w:rsid w:val="00B617F7"/>
    <w:rsid w:val="00B70B17"/>
    <w:rsid w:val="00BA502E"/>
    <w:rsid w:val="00BB1BEE"/>
    <w:rsid w:val="00BF12BC"/>
    <w:rsid w:val="00C05A92"/>
    <w:rsid w:val="00C16879"/>
    <w:rsid w:val="00C22348"/>
    <w:rsid w:val="00C56D1C"/>
    <w:rsid w:val="00C72813"/>
    <w:rsid w:val="00C82CFD"/>
    <w:rsid w:val="00C82E8E"/>
    <w:rsid w:val="00CB0A46"/>
    <w:rsid w:val="00CB197C"/>
    <w:rsid w:val="00CC003F"/>
    <w:rsid w:val="00CD48C6"/>
    <w:rsid w:val="00CD4CE3"/>
    <w:rsid w:val="00CE70A9"/>
    <w:rsid w:val="00D058FC"/>
    <w:rsid w:val="00D32907"/>
    <w:rsid w:val="00D4158A"/>
    <w:rsid w:val="00D62B7A"/>
    <w:rsid w:val="00DB2DC7"/>
    <w:rsid w:val="00DF4F14"/>
    <w:rsid w:val="00E162C0"/>
    <w:rsid w:val="00E845EC"/>
    <w:rsid w:val="00E977B1"/>
    <w:rsid w:val="00EA4E8F"/>
    <w:rsid w:val="00EA7C48"/>
    <w:rsid w:val="00EC62A2"/>
    <w:rsid w:val="00F25F7C"/>
    <w:rsid w:val="00F458C1"/>
    <w:rsid w:val="00F52CE5"/>
    <w:rsid w:val="00F75BC9"/>
    <w:rsid w:val="00F87A4E"/>
    <w:rsid w:val="00FB210F"/>
    <w:rsid w:val="00FD2137"/>
    <w:rsid w:val="00FF0D4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84706"/>
  <w15:chartTrackingRefBased/>
  <w15:docId w15:val="{D879DFBB-44D7-4276-A513-04BC0890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5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5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5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5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5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5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5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5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5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5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5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5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5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5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5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5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5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5B8"/>
    <w:rPr>
      <w:rFonts w:eastAsiaTheme="majorEastAsia" w:cstheme="majorBidi"/>
      <w:color w:val="272727" w:themeColor="text1" w:themeTint="D8"/>
    </w:rPr>
  </w:style>
  <w:style w:type="paragraph" w:styleId="Title">
    <w:name w:val="Title"/>
    <w:basedOn w:val="Normal"/>
    <w:next w:val="Normal"/>
    <w:link w:val="TitleChar"/>
    <w:uiPriority w:val="10"/>
    <w:qFormat/>
    <w:rsid w:val="006D2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5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5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5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5B8"/>
    <w:pPr>
      <w:spacing w:before="160"/>
      <w:jc w:val="center"/>
    </w:pPr>
    <w:rPr>
      <w:i/>
      <w:iCs/>
      <w:color w:val="404040" w:themeColor="text1" w:themeTint="BF"/>
    </w:rPr>
  </w:style>
  <w:style w:type="character" w:customStyle="1" w:styleId="QuoteChar">
    <w:name w:val="Quote Char"/>
    <w:basedOn w:val="DefaultParagraphFont"/>
    <w:link w:val="Quote"/>
    <w:uiPriority w:val="29"/>
    <w:rsid w:val="006D25B8"/>
    <w:rPr>
      <w:i/>
      <w:iCs/>
      <w:color w:val="404040" w:themeColor="text1" w:themeTint="BF"/>
    </w:rPr>
  </w:style>
  <w:style w:type="paragraph" w:styleId="ListParagraph">
    <w:name w:val="List Paragraph"/>
    <w:basedOn w:val="Normal"/>
    <w:uiPriority w:val="34"/>
    <w:qFormat/>
    <w:rsid w:val="006D25B8"/>
    <w:pPr>
      <w:ind w:left="720"/>
      <w:contextualSpacing/>
    </w:pPr>
  </w:style>
  <w:style w:type="character" w:styleId="IntenseEmphasis">
    <w:name w:val="Intense Emphasis"/>
    <w:basedOn w:val="DefaultParagraphFont"/>
    <w:uiPriority w:val="21"/>
    <w:qFormat/>
    <w:rsid w:val="006D25B8"/>
    <w:rPr>
      <w:i/>
      <w:iCs/>
      <w:color w:val="0F4761" w:themeColor="accent1" w:themeShade="BF"/>
    </w:rPr>
  </w:style>
  <w:style w:type="paragraph" w:styleId="IntenseQuote">
    <w:name w:val="Intense Quote"/>
    <w:basedOn w:val="Normal"/>
    <w:next w:val="Normal"/>
    <w:link w:val="IntenseQuoteChar"/>
    <w:uiPriority w:val="30"/>
    <w:qFormat/>
    <w:rsid w:val="006D25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5B8"/>
    <w:rPr>
      <w:i/>
      <w:iCs/>
      <w:color w:val="0F4761" w:themeColor="accent1" w:themeShade="BF"/>
    </w:rPr>
  </w:style>
  <w:style w:type="character" w:styleId="IntenseReference">
    <w:name w:val="Intense Reference"/>
    <w:basedOn w:val="DefaultParagraphFont"/>
    <w:uiPriority w:val="32"/>
    <w:qFormat/>
    <w:rsid w:val="006D25B8"/>
    <w:rPr>
      <w:b/>
      <w:bCs/>
      <w:smallCaps/>
      <w:color w:val="0F4761" w:themeColor="accent1" w:themeShade="BF"/>
      <w:spacing w:val="5"/>
    </w:rPr>
  </w:style>
  <w:style w:type="paragraph" w:styleId="NormalWeb">
    <w:name w:val="Normal (Web)"/>
    <w:basedOn w:val="Normal"/>
    <w:uiPriority w:val="99"/>
    <w:semiHidden/>
    <w:unhideWhenUsed/>
    <w:rsid w:val="004F40E9"/>
    <w:rPr>
      <w:rFonts w:ascii="Times New Roman" w:hAnsi="Times New Roman" w:cs="Times New Roman"/>
      <w:sz w:val="24"/>
      <w:szCs w:val="24"/>
    </w:rPr>
  </w:style>
  <w:style w:type="paragraph" w:styleId="Header">
    <w:name w:val="header"/>
    <w:basedOn w:val="Normal"/>
    <w:link w:val="HeaderChar"/>
    <w:uiPriority w:val="99"/>
    <w:unhideWhenUsed/>
    <w:rsid w:val="00EC62A2"/>
    <w:pPr>
      <w:tabs>
        <w:tab w:val="center" w:pos="4536"/>
        <w:tab w:val="right" w:pos="9072"/>
      </w:tabs>
      <w:spacing w:after="0" w:line="240" w:lineRule="auto"/>
    </w:pPr>
    <w:rPr>
      <w:lang w:val="nl-BE"/>
    </w:rPr>
  </w:style>
  <w:style w:type="character" w:customStyle="1" w:styleId="HeaderChar">
    <w:name w:val="Header Char"/>
    <w:basedOn w:val="DefaultParagraphFont"/>
    <w:link w:val="Header"/>
    <w:uiPriority w:val="99"/>
    <w:rsid w:val="00EC62A2"/>
    <w:rPr>
      <w:lang w:val="nl-BE"/>
    </w:rPr>
  </w:style>
  <w:style w:type="paragraph" w:styleId="Footer">
    <w:name w:val="footer"/>
    <w:basedOn w:val="Normal"/>
    <w:link w:val="FooterChar"/>
    <w:uiPriority w:val="99"/>
    <w:unhideWhenUsed/>
    <w:rsid w:val="00EC62A2"/>
    <w:pPr>
      <w:tabs>
        <w:tab w:val="center" w:pos="4536"/>
        <w:tab w:val="right" w:pos="9072"/>
      </w:tabs>
      <w:spacing w:after="0" w:line="240" w:lineRule="auto"/>
    </w:pPr>
    <w:rPr>
      <w:lang w:val="nl-BE"/>
    </w:rPr>
  </w:style>
  <w:style w:type="character" w:customStyle="1" w:styleId="FooterChar">
    <w:name w:val="Footer Char"/>
    <w:basedOn w:val="DefaultParagraphFont"/>
    <w:link w:val="Footer"/>
    <w:uiPriority w:val="99"/>
    <w:rsid w:val="00EC62A2"/>
    <w:rPr>
      <w:lang w:val="nl-BE"/>
    </w:rPr>
  </w:style>
  <w:style w:type="paragraph" w:styleId="BalloonText">
    <w:name w:val="Balloon Text"/>
    <w:basedOn w:val="Normal"/>
    <w:link w:val="BalloonTextChar"/>
    <w:uiPriority w:val="99"/>
    <w:semiHidden/>
    <w:unhideWhenUsed/>
    <w:rsid w:val="00EC62A2"/>
    <w:pPr>
      <w:spacing w:after="0" w:line="240" w:lineRule="auto"/>
    </w:pPr>
    <w:rPr>
      <w:rFonts w:ascii="Tahoma" w:hAnsi="Tahoma" w:cs="Tahoma"/>
      <w:sz w:val="16"/>
      <w:szCs w:val="16"/>
      <w:lang w:val="nl-BE"/>
    </w:rPr>
  </w:style>
  <w:style w:type="character" w:customStyle="1" w:styleId="BalloonTextChar">
    <w:name w:val="Balloon Text Char"/>
    <w:basedOn w:val="DefaultParagraphFont"/>
    <w:link w:val="BalloonText"/>
    <w:uiPriority w:val="99"/>
    <w:semiHidden/>
    <w:rsid w:val="00EC62A2"/>
    <w:rPr>
      <w:rFonts w:ascii="Tahoma" w:hAnsi="Tahoma" w:cs="Tahoma"/>
      <w:sz w:val="16"/>
      <w:szCs w:val="16"/>
      <w:lang w:val="nl-BE"/>
    </w:rPr>
  </w:style>
  <w:style w:type="paragraph" w:styleId="NoSpacing">
    <w:name w:val="No Spacing"/>
    <w:uiPriority w:val="1"/>
    <w:qFormat/>
    <w:rsid w:val="00EC62A2"/>
    <w:pPr>
      <w:spacing w:after="0" w:line="240" w:lineRule="auto"/>
    </w:pPr>
    <w:rPr>
      <w:lang w:val="nl-BE"/>
    </w:rPr>
  </w:style>
  <w:style w:type="character" w:styleId="Hyperlink">
    <w:name w:val="Hyperlink"/>
    <w:basedOn w:val="DefaultParagraphFont"/>
    <w:uiPriority w:val="99"/>
    <w:unhideWhenUsed/>
    <w:rsid w:val="00EC62A2"/>
    <w:rPr>
      <w:color w:val="467886" w:themeColor="hyperlink"/>
      <w:u w:val="single"/>
    </w:rPr>
  </w:style>
  <w:style w:type="character" w:customStyle="1" w:styleId="Onopgelostemelding1">
    <w:name w:val="Onopgeloste melding1"/>
    <w:basedOn w:val="DefaultParagraphFont"/>
    <w:uiPriority w:val="99"/>
    <w:semiHidden/>
    <w:unhideWhenUsed/>
    <w:rsid w:val="00EC62A2"/>
    <w:rPr>
      <w:color w:val="605E5C"/>
      <w:shd w:val="clear" w:color="auto" w:fill="E1DFDD"/>
    </w:rPr>
  </w:style>
  <w:style w:type="paragraph" w:styleId="BodyText">
    <w:name w:val="Body Text"/>
    <w:basedOn w:val="Normal"/>
    <w:link w:val="BodyTextChar"/>
    <w:uiPriority w:val="99"/>
    <w:rsid w:val="00EC62A2"/>
    <w:pPr>
      <w:tabs>
        <w:tab w:val="left" w:pos="3884"/>
      </w:tabs>
      <w:overflowPunct w:val="0"/>
      <w:autoSpaceDE w:val="0"/>
      <w:autoSpaceDN w:val="0"/>
      <w:adjustRightInd w:val="0"/>
      <w:spacing w:after="0" w:line="240" w:lineRule="auto"/>
      <w:ind w:right="28"/>
      <w:jc w:val="both"/>
      <w:textAlignment w:val="baseline"/>
    </w:pPr>
    <w:rPr>
      <w:rFonts w:ascii="Times New Roman" w:eastAsia="Times New Roman" w:hAnsi="Times New Roman" w:cs="Times New Roman"/>
      <w:noProof/>
      <w:szCs w:val="20"/>
      <w:lang w:val="nl-BE" w:eastAsia="nl-NL"/>
    </w:rPr>
  </w:style>
  <w:style w:type="character" w:customStyle="1" w:styleId="BodyTextChar">
    <w:name w:val="Body Text Char"/>
    <w:basedOn w:val="DefaultParagraphFont"/>
    <w:link w:val="BodyText"/>
    <w:uiPriority w:val="99"/>
    <w:rsid w:val="00EC62A2"/>
    <w:rPr>
      <w:rFonts w:ascii="Times New Roman" w:eastAsia="Times New Roman" w:hAnsi="Times New Roman" w:cs="Times New Roman"/>
      <w:noProof/>
      <w:szCs w:val="20"/>
      <w:lang w:val="nl-BE" w:eastAsia="nl-NL"/>
    </w:rPr>
  </w:style>
  <w:style w:type="paragraph" w:styleId="CommentText">
    <w:name w:val="annotation text"/>
    <w:basedOn w:val="Normal"/>
    <w:link w:val="CommentTextChar"/>
    <w:uiPriority w:val="99"/>
    <w:unhideWhenUsed/>
    <w:rsid w:val="00EC62A2"/>
    <w:pPr>
      <w:spacing w:after="200" w:line="240" w:lineRule="auto"/>
    </w:pPr>
    <w:rPr>
      <w:sz w:val="20"/>
      <w:szCs w:val="20"/>
      <w:lang w:val="nl-BE"/>
    </w:rPr>
  </w:style>
  <w:style w:type="character" w:customStyle="1" w:styleId="CommentTextChar">
    <w:name w:val="Comment Text Char"/>
    <w:basedOn w:val="DefaultParagraphFont"/>
    <w:link w:val="CommentText"/>
    <w:uiPriority w:val="99"/>
    <w:rsid w:val="00EC62A2"/>
    <w:rPr>
      <w:sz w:val="20"/>
      <w:szCs w:val="20"/>
      <w:lang w:val="nl-BE"/>
    </w:rPr>
  </w:style>
  <w:style w:type="character" w:styleId="CommentReference">
    <w:name w:val="annotation reference"/>
    <w:basedOn w:val="DefaultParagraphFont"/>
    <w:uiPriority w:val="99"/>
    <w:semiHidden/>
    <w:unhideWhenUsed/>
    <w:rsid w:val="00EC62A2"/>
    <w:rPr>
      <w:sz w:val="16"/>
      <w:szCs w:val="16"/>
    </w:rPr>
  </w:style>
  <w:style w:type="paragraph" w:styleId="CommentSubject">
    <w:name w:val="annotation subject"/>
    <w:basedOn w:val="CommentText"/>
    <w:next w:val="CommentText"/>
    <w:link w:val="CommentSubjectChar"/>
    <w:uiPriority w:val="99"/>
    <w:semiHidden/>
    <w:unhideWhenUsed/>
    <w:rsid w:val="00EC62A2"/>
    <w:rPr>
      <w:b/>
      <w:bCs/>
    </w:rPr>
  </w:style>
  <w:style w:type="character" w:customStyle="1" w:styleId="CommentSubjectChar">
    <w:name w:val="Comment Subject Char"/>
    <w:basedOn w:val="CommentTextChar"/>
    <w:link w:val="CommentSubject"/>
    <w:uiPriority w:val="99"/>
    <w:semiHidden/>
    <w:rsid w:val="00EC62A2"/>
    <w:rPr>
      <w:b/>
      <w:bCs/>
      <w:sz w:val="20"/>
      <w:szCs w:val="20"/>
      <w:lang w:val="nl-BE"/>
    </w:rPr>
  </w:style>
  <w:style w:type="paragraph" w:customStyle="1" w:styleId="xmsoplaintext">
    <w:name w:val="xmsoplaintext"/>
    <w:basedOn w:val="Normal"/>
    <w:rsid w:val="00EC62A2"/>
    <w:pPr>
      <w:spacing w:before="100" w:beforeAutospacing="1" w:after="100" w:afterAutospacing="1" w:line="240" w:lineRule="auto"/>
    </w:pPr>
    <w:rPr>
      <w:rFonts w:ascii="Calibri" w:hAnsi="Calibri" w:cs="Calibri"/>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714417">
      <w:bodyDiv w:val="1"/>
      <w:marLeft w:val="0"/>
      <w:marRight w:val="0"/>
      <w:marTop w:val="0"/>
      <w:marBottom w:val="0"/>
      <w:divBdr>
        <w:top w:val="none" w:sz="0" w:space="0" w:color="auto"/>
        <w:left w:val="none" w:sz="0" w:space="0" w:color="auto"/>
        <w:bottom w:val="none" w:sz="0" w:space="0" w:color="auto"/>
        <w:right w:val="none" w:sz="0" w:space="0" w:color="auto"/>
      </w:divBdr>
    </w:div>
    <w:div w:id="479541679">
      <w:bodyDiv w:val="1"/>
      <w:marLeft w:val="0"/>
      <w:marRight w:val="0"/>
      <w:marTop w:val="0"/>
      <w:marBottom w:val="0"/>
      <w:divBdr>
        <w:top w:val="none" w:sz="0" w:space="0" w:color="auto"/>
        <w:left w:val="none" w:sz="0" w:space="0" w:color="auto"/>
        <w:bottom w:val="none" w:sz="0" w:space="0" w:color="auto"/>
        <w:right w:val="none" w:sz="0" w:space="0" w:color="auto"/>
      </w:divBdr>
    </w:div>
    <w:div w:id="1021711273">
      <w:bodyDiv w:val="1"/>
      <w:marLeft w:val="0"/>
      <w:marRight w:val="0"/>
      <w:marTop w:val="0"/>
      <w:marBottom w:val="0"/>
      <w:divBdr>
        <w:top w:val="none" w:sz="0" w:space="0" w:color="auto"/>
        <w:left w:val="none" w:sz="0" w:space="0" w:color="auto"/>
        <w:bottom w:val="none" w:sz="0" w:space="0" w:color="auto"/>
        <w:right w:val="none" w:sz="0" w:space="0" w:color="auto"/>
      </w:divBdr>
    </w:div>
    <w:div w:id="105600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watf.new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hyperlink" Target="http://WAT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filip.de.jaeger@fedustria.be"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mailto:katja.devos@fedustria.be"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wiinz.world/"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FilipD\Documents\Omzetontwikkeling%20meubelindustri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oleObject" Target="file:///C:\Users\FilipD\Documents\bestellingen%20meubelhande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nl-BE" sz="1100"/>
              <a:t>Turnover development in the Belgian furniture</a:t>
            </a:r>
            <a:r>
              <a:rPr lang="nl-BE" sz="1100" baseline="0"/>
              <a:t> industry</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Blad1!$K$2</c:f>
              <c:strCache>
                <c:ptCount val="1"/>
                <c:pt idx="0">
                  <c:v>Turnover</c:v>
                </c:pt>
              </c:strCache>
            </c:strRef>
          </c:tx>
          <c:spPr>
            <a:solidFill>
              <a:schemeClr val="accent1"/>
            </a:solidFill>
            <a:ln>
              <a:noFill/>
            </a:ln>
            <a:effectLst/>
          </c:spPr>
          <c:invertIfNegative val="0"/>
          <c:cat>
            <c:numRef>
              <c:f>Blad1!$L$1:$S$1</c:f>
              <c:numCache>
                <c:formatCode>General</c:formatCode>
                <c:ptCount val="8"/>
                <c:pt idx="0">
                  <c:v>2016</c:v>
                </c:pt>
                <c:pt idx="1">
                  <c:v>2017</c:v>
                </c:pt>
                <c:pt idx="2">
                  <c:v>2018</c:v>
                </c:pt>
                <c:pt idx="3">
                  <c:v>2019</c:v>
                </c:pt>
                <c:pt idx="4">
                  <c:v>2020</c:v>
                </c:pt>
                <c:pt idx="5">
                  <c:v>2021</c:v>
                </c:pt>
                <c:pt idx="6">
                  <c:v>2022</c:v>
                </c:pt>
                <c:pt idx="7">
                  <c:v>2023</c:v>
                </c:pt>
              </c:numCache>
            </c:numRef>
          </c:cat>
          <c:val>
            <c:numRef>
              <c:f>Blad1!$L$2:$S$2</c:f>
              <c:numCache>
                <c:formatCode>General</c:formatCode>
                <c:ptCount val="8"/>
                <c:pt idx="0">
                  <c:v>2280.1999999999998</c:v>
                </c:pt>
                <c:pt idx="1">
                  <c:v>2144</c:v>
                </c:pt>
                <c:pt idx="2">
                  <c:v>2084.1</c:v>
                </c:pt>
                <c:pt idx="3">
                  <c:v>2091.4</c:v>
                </c:pt>
                <c:pt idx="4">
                  <c:v>2067.3000000000002</c:v>
                </c:pt>
                <c:pt idx="5">
                  <c:v>2272.1</c:v>
                </c:pt>
                <c:pt idx="6">
                  <c:v>2263.5</c:v>
                </c:pt>
                <c:pt idx="7">
                  <c:v>2104</c:v>
                </c:pt>
              </c:numCache>
            </c:numRef>
          </c:val>
          <c:extLst>
            <c:ext xmlns:c16="http://schemas.microsoft.com/office/drawing/2014/chart" uri="{C3380CC4-5D6E-409C-BE32-E72D297353CC}">
              <c16:uniqueId val="{00000000-B52D-4924-B39E-08ACE3711A89}"/>
            </c:ext>
          </c:extLst>
        </c:ser>
        <c:dLbls>
          <c:showLegendKey val="0"/>
          <c:showVal val="0"/>
          <c:showCatName val="0"/>
          <c:showSerName val="0"/>
          <c:showPercent val="0"/>
          <c:showBubbleSize val="0"/>
        </c:dLbls>
        <c:gapWidth val="150"/>
        <c:axId val="1073989984"/>
        <c:axId val="1075920288"/>
      </c:barChart>
      <c:lineChart>
        <c:grouping val="standard"/>
        <c:varyColors val="0"/>
        <c:ser>
          <c:idx val="1"/>
          <c:order val="1"/>
          <c:tx>
            <c:strRef>
              <c:f>Blad1!$K$3</c:f>
              <c:strCache>
                <c:ptCount val="1"/>
                <c:pt idx="0">
                  <c:v>Growth rate</c:v>
                </c:pt>
              </c:strCache>
            </c:strRef>
          </c:tx>
          <c:spPr>
            <a:ln w="28575" cap="rnd">
              <a:solidFill>
                <a:schemeClr val="accent2"/>
              </a:solidFill>
              <a:round/>
            </a:ln>
            <a:effectLst/>
          </c:spPr>
          <c:marker>
            <c:symbol val="none"/>
          </c:marker>
          <c:dLbls>
            <c:spPr>
              <a:solidFill>
                <a:schemeClr val="bg1"/>
              </a:solid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Blad1!$L$1:$S$1</c:f>
              <c:numCache>
                <c:formatCode>General</c:formatCode>
                <c:ptCount val="8"/>
                <c:pt idx="0">
                  <c:v>2016</c:v>
                </c:pt>
                <c:pt idx="1">
                  <c:v>2017</c:v>
                </c:pt>
                <c:pt idx="2">
                  <c:v>2018</c:v>
                </c:pt>
                <c:pt idx="3">
                  <c:v>2019</c:v>
                </c:pt>
                <c:pt idx="4">
                  <c:v>2020</c:v>
                </c:pt>
                <c:pt idx="5">
                  <c:v>2021</c:v>
                </c:pt>
                <c:pt idx="6">
                  <c:v>2022</c:v>
                </c:pt>
                <c:pt idx="7">
                  <c:v>2023</c:v>
                </c:pt>
              </c:numCache>
            </c:numRef>
          </c:cat>
          <c:val>
            <c:numRef>
              <c:f>Blad1!$L$3:$S$3</c:f>
              <c:numCache>
                <c:formatCode>0.00%</c:formatCode>
                <c:ptCount val="8"/>
                <c:pt idx="0">
                  <c:v>2.1000000000000001E-2</c:v>
                </c:pt>
                <c:pt idx="1">
                  <c:v>-7.2999999999999995E-2</c:v>
                </c:pt>
                <c:pt idx="2">
                  <c:v>-1.4E-2</c:v>
                </c:pt>
                <c:pt idx="3">
                  <c:v>3.0000000000000001E-3</c:v>
                </c:pt>
                <c:pt idx="4">
                  <c:v>-1.2E-2</c:v>
                </c:pt>
                <c:pt idx="5">
                  <c:v>9.9000000000000005E-2</c:v>
                </c:pt>
                <c:pt idx="6">
                  <c:v>-4.0000000000000001E-3</c:v>
                </c:pt>
                <c:pt idx="7" formatCode="0%">
                  <c:v>-7.0000000000000007E-2</c:v>
                </c:pt>
              </c:numCache>
            </c:numRef>
          </c:val>
          <c:smooth val="0"/>
          <c:extLst>
            <c:ext xmlns:c16="http://schemas.microsoft.com/office/drawing/2014/chart" uri="{C3380CC4-5D6E-409C-BE32-E72D297353CC}">
              <c16:uniqueId val="{00000001-B52D-4924-B39E-08ACE3711A89}"/>
            </c:ext>
          </c:extLst>
        </c:ser>
        <c:dLbls>
          <c:showLegendKey val="0"/>
          <c:showVal val="0"/>
          <c:showCatName val="0"/>
          <c:showSerName val="0"/>
          <c:showPercent val="0"/>
          <c:showBubbleSize val="0"/>
        </c:dLbls>
        <c:marker val="1"/>
        <c:smooth val="0"/>
        <c:axId val="1075918848"/>
        <c:axId val="1075917408"/>
      </c:lineChart>
      <c:catAx>
        <c:axId val="107398998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75920288"/>
        <c:crosses val="autoZero"/>
        <c:auto val="1"/>
        <c:lblAlgn val="ctr"/>
        <c:lblOffset val="100"/>
        <c:noMultiLvlLbl val="0"/>
      </c:catAx>
      <c:valAx>
        <c:axId val="1075920288"/>
        <c:scaling>
          <c:orientation val="minMax"/>
          <c:min val="0"/>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73989984"/>
        <c:crosses val="autoZero"/>
        <c:crossBetween val="between"/>
      </c:valAx>
      <c:valAx>
        <c:axId val="1075917408"/>
        <c:scaling>
          <c:orientation val="minMax"/>
        </c:scaling>
        <c:delete val="0"/>
        <c:axPos val="r"/>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75918848"/>
        <c:crosses val="max"/>
        <c:crossBetween val="between"/>
      </c:valAx>
      <c:catAx>
        <c:axId val="1075918848"/>
        <c:scaling>
          <c:orientation val="minMax"/>
        </c:scaling>
        <c:delete val="1"/>
        <c:axPos val="b"/>
        <c:numFmt formatCode="General" sourceLinked="1"/>
        <c:majorTickMark val="none"/>
        <c:minorTickMark val="none"/>
        <c:tickLblPos val="nextTo"/>
        <c:crossAx val="107591740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366360454943561E-2"/>
          <c:y val="0.18590093328760612"/>
          <c:w val="0.92507523760500066"/>
          <c:h val="0.69258888515566119"/>
        </c:manualLayout>
      </c:layout>
      <c:lineChart>
        <c:grouping val="standard"/>
        <c:varyColors val="0"/>
        <c:ser>
          <c:idx val="0"/>
          <c:order val="0"/>
          <c:spPr>
            <a:ln w="38100">
              <a:solidFill>
                <a:srgbClr val="FFC000"/>
              </a:solidFill>
              <a:prstDash val="solid"/>
            </a:ln>
          </c:spPr>
          <c:marker>
            <c:symbol val="circle"/>
            <c:size val="2"/>
          </c:marker>
          <c:dLbls>
            <c:numFmt formatCode="#,##0.0" sourceLinked="0"/>
            <c:spPr>
              <a:noFill/>
              <a:ln>
                <a:noFill/>
              </a:ln>
              <a:effectLst/>
            </c:spPr>
            <c:txPr>
              <a:bodyPr wrap="square" lIns="38100" tIns="19050" rIns="38100" bIns="19050" anchor="ctr">
                <a:spAutoFit/>
              </a:bodyPr>
              <a:lstStyle/>
              <a:p>
                <a:pPr>
                  <a:defRPr sz="800" b="1"/>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PRODKAP!$A$59:$A$93</c:f>
              <c:strCache>
                <c:ptCount val="35"/>
                <c:pt idx="0">
                  <c:v>IV/15</c:v>
                </c:pt>
                <c:pt idx="1">
                  <c:v>I/16</c:v>
                </c:pt>
                <c:pt idx="2">
                  <c:v>II/16</c:v>
                </c:pt>
                <c:pt idx="3">
                  <c:v>III/16</c:v>
                </c:pt>
                <c:pt idx="4">
                  <c:v>IV/16</c:v>
                </c:pt>
                <c:pt idx="5">
                  <c:v>I/17</c:v>
                </c:pt>
                <c:pt idx="6">
                  <c:v>II/17</c:v>
                </c:pt>
                <c:pt idx="7">
                  <c:v>III/17</c:v>
                </c:pt>
                <c:pt idx="8">
                  <c:v>IV/17</c:v>
                </c:pt>
                <c:pt idx="9">
                  <c:v>I/18</c:v>
                </c:pt>
                <c:pt idx="10">
                  <c:v>II/18</c:v>
                </c:pt>
                <c:pt idx="11">
                  <c:v>III/18</c:v>
                </c:pt>
                <c:pt idx="12">
                  <c:v>IV/18</c:v>
                </c:pt>
                <c:pt idx="13">
                  <c:v>I/19</c:v>
                </c:pt>
                <c:pt idx="14">
                  <c:v>II/19</c:v>
                </c:pt>
                <c:pt idx="15">
                  <c:v>III/19</c:v>
                </c:pt>
                <c:pt idx="16">
                  <c:v>IV/19</c:v>
                </c:pt>
                <c:pt idx="17">
                  <c:v>I/20</c:v>
                </c:pt>
                <c:pt idx="18">
                  <c:v>II/20</c:v>
                </c:pt>
                <c:pt idx="19">
                  <c:v>III/20</c:v>
                </c:pt>
                <c:pt idx="20">
                  <c:v>IV/20</c:v>
                </c:pt>
                <c:pt idx="21">
                  <c:v>I/21</c:v>
                </c:pt>
                <c:pt idx="22">
                  <c:v>II/21</c:v>
                </c:pt>
                <c:pt idx="23">
                  <c:v>III/21</c:v>
                </c:pt>
                <c:pt idx="24">
                  <c:v>IV/21</c:v>
                </c:pt>
                <c:pt idx="25">
                  <c:v>I/22</c:v>
                </c:pt>
                <c:pt idx="26">
                  <c:v>II/22</c:v>
                </c:pt>
                <c:pt idx="27">
                  <c:v>III/22</c:v>
                </c:pt>
                <c:pt idx="28">
                  <c:v>IV/22</c:v>
                </c:pt>
                <c:pt idx="29">
                  <c:v>I/23</c:v>
                </c:pt>
                <c:pt idx="30">
                  <c:v>II/23</c:v>
                </c:pt>
                <c:pt idx="31">
                  <c:v>III/23</c:v>
                </c:pt>
                <c:pt idx="32">
                  <c:v>IV/23</c:v>
                </c:pt>
                <c:pt idx="33">
                  <c:v>I/24</c:v>
                </c:pt>
                <c:pt idx="34">
                  <c:v>II/24</c:v>
                </c:pt>
              </c:strCache>
            </c:strRef>
          </c:cat>
          <c:val>
            <c:numRef>
              <c:f>PRODKAP!$B$59:$B$93</c:f>
              <c:numCache>
                <c:formatCode>0.0</c:formatCode>
                <c:ptCount val="35"/>
                <c:pt idx="0">
                  <c:v>82.88</c:v>
                </c:pt>
                <c:pt idx="1">
                  <c:v>81.2</c:v>
                </c:pt>
                <c:pt idx="2">
                  <c:v>80.099999999999994</c:v>
                </c:pt>
                <c:pt idx="3">
                  <c:v>80.8</c:v>
                </c:pt>
                <c:pt idx="4">
                  <c:v>80.3</c:v>
                </c:pt>
                <c:pt idx="5" formatCode="0.00">
                  <c:v>82.5</c:v>
                </c:pt>
                <c:pt idx="6" formatCode="0.00">
                  <c:v>80.3</c:v>
                </c:pt>
                <c:pt idx="7" formatCode="0.00">
                  <c:v>79</c:v>
                </c:pt>
                <c:pt idx="8" formatCode="0.00">
                  <c:v>75</c:v>
                </c:pt>
                <c:pt idx="9" formatCode="0.00">
                  <c:v>80.900000000000006</c:v>
                </c:pt>
                <c:pt idx="10" formatCode="0.00">
                  <c:v>79.900000000000006</c:v>
                </c:pt>
                <c:pt idx="11" formatCode="0.00">
                  <c:v>82</c:v>
                </c:pt>
                <c:pt idx="12" formatCode="0.00">
                  <c:v>81.5</c:v>
                </c:pt>
                <c:pt idx="13" formatCode="0.00">
                  <c:v>79</c:v>
                </c:pt>
                <c:pt idx="14" formatCode="0.00">
                  <c:v>80.7</c:v>
                </c:pt>
                <c:pt idx="15" formatCode="0.00">
                  <c:v>81.5</c:v>
                </c:pt>
                <c:pt idx="16" formatCode="0.00">
                  <c:v>83.2</c:v>
                </c:pt>
                <c:pt idx="17" formatCode="0.00">
                  <c:v>82</c:v>
                </c:pt>
                <c:pt idx="18" formatCode="0.00">
                  <c:v>84</c:v>
                </c:pt>
                <c:pt idx="19" formatCode="0.00">
                  <c:v>86</c:v>
                </c:pt>
                <c:pt idx="20" formatCode="0.00">
                  <c:v>83.3</c:v>
                </c:pt>
                <c:pt idx="21" formatCode="0.00">
                  <c:v>86.5</c:v>
                </c:pt>
                <c:pt idx="22" formatCode="0.00">
                  <c:v>87.5</c:v>
                </c:pt>
                <c:pt idx="23" formatCode="0.00">
                  <c:v>85.9</c:v>
                </c:pt>
                <c:pt idx="24" formatCode="0.00">
                  <c:v>86.2</c:v>
                </c:pt>
                <c:pt idx="25" formatCode="0.00">
                  <c:v>83.4</c:v>
                </c:pt>
                <c:pt idx="26" formatCode="0.00">
                  <c:v>89</c:v>
                </c:pt>
                <c:pt idx="27" formatCode="0.00">
                  <c:v>80.2</c:v>
                </c:pt>
                <c:pt idx="28" formatCode="0.00">
                  <c:v>76.5</c:v>
                </c:pt>
                <c:pt idx="29" formatCode="0.00">
                  <c:v>75.900000000000006</c:v>
                </c:pt>
                <c:pt idx="30" formatCode="0.00">
                  <c:v>72.5</c:v>
                </c:pt>
                <c:pt idx="31" formatCode="0.00">
                  <c:v>71.3</c:v>
                </c:pt>
                <c:pt idx="32" formatCode="0.00">
                  <c:v>74.3</c:v>
                </c:pt>
                <c:pt idx="33" formatCode="0.00">
                  <c:v>73.2</c:v>
                </c:pt>
                <c:pt idx="34" formatCode="0.00">
                  <c:v>68</c:v>
                </c:pt>
              </c:numCache>
            </c:numRef>
          </c:val>
          <c:smooth val="0"/>
          <c:extLst>
            <c:ext xmlns:c16="http://schemas.microsoft.com/office/drawing/2014/chart" uri="{C3380CC4-5D6E-409C-BE32-E72D297353CC}">
              <c16:uniqueId val="{00000000-F8F4-4581-8675-9353BBC1C2E3}"/>
            </c:ext>
          </c:extLst>
        </c:ser>
        <c:dLbls>
          <c:dLblPos val="t"/>
          <c:showLegendKey val="0"/>
          <c:showVal val="1"/>
          <c:showCatName val="0"/>
          <c:showSerName val="0"/>
          <c:showPercent val="0"/>
          <c:showBubbleSize val="0"/>
        </c:dLbls>
        <c:marker val="1"/>
        <c:smooth val="0"/>
        <c:axId val="301009920"/>
        <c:axId val="301019904"/>
      </c:lineChart>
      <c:catAx>
        <c:axId val="301009920"/>
        <c:scaling>
          <c:orientation val="minMax"/>
        </c:scaling>
        <c:delete val="0"/>
        <c:axPos val="b"/>
        <c:numFmt formatCode="General" sourceLinked="1"/>
        <c:majorTickMark val="out"/>
        <c:minorTickMark val="none"/>
        <c:tickLblPos val="nextTo"/>
        <c:spPr>
          <a:ln w="1963">
            <a:solidFill>
              <a:srgbClr val="000000"/>
            </a:solidFill>
            <a:prstDash val="solid"/>
          </a:ln>
        </c:spPr>
        <c:txPr>
          <a:bodyPr rot="0" vert="horz"/>
          <a:lstStyle/>
          <a:p>
            <a:pPr>
              <a:defRPr sz="500"/>
            </a:pPr>
            <a:endParaRPr lang="fr-FR"/>
          </a:p>
        </c:txPr>
        <c:crossAx val="301019904"/>
        <c:crosses val="autoZero"/>
        <c:auto val="1"/>
        <c:lblAlgn val="ctr"/>
        <c:lblOffset val="100"/>
        <c:tickLblSkip val="1"/>
        <c:tickMarkSkip val="1"/>
        <c:noMultiLvlLbl val="0"/>
      </c:catAx>
      <c:valAx>
        <c:axId val="301019904"/>
        <c:scaling>
          <c:orientation val="minMax"/>
          <c:min val="60"/>
        </c:scaling>
        <c:delete val="0"/>
        <c:axPos val="l"/>
        <c:majorGridlines>
          <c:spPr>
            <a:ln w="1963">
              <a:solidFill>
                <a:srgbClr val="000000"/>
              </a:solidFill>
              <a:prstDash val="sysDot"/>
            </a:ln>
          </c:spPr>
        </c:majorGridlines>
        <c:title>
          <c:tx>
            <c:rich>
              <a:bodyPr rot="0" vert="horz"/>
              <a:lstStyle/>
              <a:p>
                <a:pPr algn="ctr">
                  <a:defRPr/>
                </a:pPr>
                <a:r>
                  <a:rPr lang="nl-BE"/>
                  <a:t>in %</a:t>
                </a:r>
              </a:p>
            </c:rich>
          </c:tx>
          <c:layout>
            <c:manualLayout>
              <c:xMode val="edge"/>
              <c:yMode val="edge"/>
              <c:x val="1.1873609504026416E-2"/>
              <c:y val="6.6370136189310633E-2"/>
            </c:manualLayout>
          </c:layout>
          <c:overlay val="0"/>
          <c:spPr>
            <a:noFill/>
            <a:ln w="22404">
              <a:noFill/>
            </a:ln>
          </c:spPr>
        </c:title>
        <c:numFmt formatCode="0" sourceLinked="0"/>
        <c:majorTickMark val="out"/>
        <c:minorTickMark val="none"/>
        <c:tickLblPos val="nextTo"/>
        <c:spPr>
          <a:ln w="1963">
            <a:solidFill>
              <a:srgbClr val="000000"/>
            </a:solidFill>
            <a:prstDash val="solid"/>
          </a:ln>
        </c:spPr>
        <c:txPr>
          <a:bodyPr rot="0" vert="horz"/>
          <a:lstStyle/>
          <a:p>
            <a:pPr>
              <a:defRPr/>
            </a:pPr>
            <a:endParaRPr lang="fr-FR"/>
          </a:p>
        </c:txPr>
        <c:crossAx val="301009920"/>
        <c:crosses val="autoZero"/>
        <c:crossBetween val="between"/>
      </c:valAx>
      <c:spPr>
        <a:noFill/>
        <a:ln w="1963">
          <a:solidFill>
            <a:srgbClr val="000000"/>
          </a:solidFill>
          <a:prstDash val="solid"/>
        </a:ln>
      </c:spPr>
    </c:plotArea>
    <c:plotVisOnly val="1"/>
    <c:dispBlanksAs val="gap"/>
    <c:showDLblsOverMax val="0"/>
  </c:chart>
  <c:spPr>
    <a:noFill/>
    <a:ln>
      <a:noFill/>
    </a:ln>
  </c:spPr>
  <c:txPr>
    <a:bodyPr/>
    <a:lstStyle/>
    <a:p>
      <a:pPr>
        <a:defRPr sz="1000" b="0" i="0" u="none" strike="noStrike" baseline="0">
          <a:solidFill>
            <a:srgbClr val="000000"/>
          </a:solidFill>
          <a:latin typeface="Calibri" pitchFamily="34" charset="0"/>
          <a:ea typeface="Myriad Pro"/>
          <a:cs typeface="Calibri" pitchFamily="34" charset="0"/>
        </a:defRPr>
      </a:pPr>
      <a:endParaRPr lang="fr-F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nl-BE" b="1"/>
              <a:t>Order intake in the furniture</a:t>
            </a:r>
            <a:r>
              <a:rPr lang="nl-BE" b="1" baseline="0"/>
              <a:t> trade</a:t>
            </a:r>
          </a:p>
          <a:p>
            <a:pPr>
              <a:defRPr b="1"/>
            </a:pPr>
            <a:r>
              <a:rPr lang="nl-BE" b="1" baseline="0"/>
              <a:t>(Total 8 M 2024 = -2.8%)</a:t>
            </a:r>
            <a:endParaRPr lang="nl-BE"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spPr>
            <a:solidFill>
              <a:srgbClr val="FFC000"/>
            </a:solidFill>
            <a:ln>
              <a:noFill/>
            </a:ln>
            <a:effectLst/>
          </c:spPr>
          <c:invertIfNegative val="0"/>
          <c:cat>
            <c:multiLvlStrRef>
              <c:f>Blad1!$A$13:$B$44</c:f>
              <c:multiLvlStrCache>
                <c:ptCount val="32"/>
                <c:lvl>
                  <c:pt idx="0">
                    <c:v>J</c:v>
                  </c:pt>
                  <c:pt idx="1">
                    <c:v>F</c:v>
                  </c:pt>
                  <c:pt idx="2">
                    <c:v>M</c:v>
                  </c:pt>
                  <c:pt idx="3">
                    <c:v>A</c:v>
                  </c:pt>
                  <c:pt idx="4">
                    <c:v>M</c:v>
                  </c:pt>
                  <c:pt idx="5">
                    <c:v>J</c:v>
                  </c:pt>
                  <c:pt idx="6">
                    <c:v>J</c:v>
                  </c:pt>
                  <c:pt idx="7">
                    <c:v>A</c:v>
                  </c:pt>
                  <c:pt idx="8">
                    <c:v>S</c:v>
                  </c:pt>
                  <c:pt idx="9">
                    <c:v>O</c:v>
                  </c:pt>
                  <c:pt idx="10">
                    <c:v>N</c:v>
                  </c:pt>
                  <c:pt idx="11">
                    <c:v>D</c:v>
                  </c:pt>
                  <c:pt idx="12">
                    <c:v>J</c:v>
                  </c:pt>
                  <c:pt idx="13">
                    <c:v>F</c:v>
                  </c:pt>
                  <c:pt idx="14">
                    <c:v>M</c:v>
                  </c:pt>
                  <c:pt idx="15">
                    <c:v>A</c:v>
                  </c:pt>
                  <c:pt idx="16">
                    <c:v>M</c:v>
                  </c:pt>
                  <c:pt idx="17">
                    <c:v>J</c:v>
                  </c:pt>
                  <c:pt idx="18">
                    <c:v>J</c:v>
                  </c:pt>
                  <c:pt idx="19">
                    <c:v>A</c:v>
                  </c:pt>
                  <c:pt idx="20">
                    <c:v>S</c:v>
                  </c:pt>
                  <c:pt idx="21">
                    <c:v>O</c:v>
                  </c:pt>
                  <c:pt idx="22">
                    <c:v>N</c:v>
                  </c:pt>
                  <c:pt idx="23">
                    <c:v>D</c:v>
                  </c:pt>
                  <c:pt idx="24">
                    <c:v>J</c:v>
                  </c:pt>
                  <c:pt idx="25">
                    <c:v>F</c:v>
                  </c:pt>
                  <c:pt idx="26">
                    <c:v>M</c:v>
                  </c:pt>
                  <c:pt idx="27">
                    <c:v>A</c:v>
                  </c:pt>
                  <c:pt idx="28">
                    <c:v>M</c:v>
                  </c:pt>
                  <c:pt idx="29">
                    <c:v>J</c:v>
                  </c:pt>
                  <c:pt idx="30">
                    <c:v>J</c:v>
                  </c:pt>
                  <c:pt idx="31">
                    <c:v>A</c:v>
                  </c:pt>
                </c:lvl>
                <c:lvl>
                  <c:pt idx="0">
                    <c:v>2022</c:v>
                  </c:pt>
                  <c:pt idx="12">
                    <c:v>2023</c:v>
                  </c:pt>
                  <c:pt idx="24">
                    <c:v>2024</c:v>
                  </c:pt>
                </c:lvl>
              </c:multiLvlStrCache>
            </c:multiLvlStrRef>
          </c:cat>
          <c:val>
            <c:numRef>
              <c:f>Blad1!$C$13:$C$44</c:f>
              <c:numCache>
                <c:formatCode>0.0%</c:formatCode>
                <c:ptCount val="32"/>
                <c:pt idx="0">
                  <c:v>6.0999999999999999E-2</c:v>
                </c:pt>
                <c:pt idx="1">
                  <c:v>-0.12</c:v>
                </c:pt>
                <c:pt idx="2">
                  <c:v>-0.14399999999999999</c:v>
                </c:pt>
                <c:pt idx="3">
                  <c:v>0.191</c:v>
                </c:pt>
                <c:pt idx="4">
                  <c:v>-0.14799999999999999</c:v>
                </c:pt>
                <c:pt idx="5">
                  <c:v>1E-3</c:v>
                </c:pt>
                <c:pt idx="6">
                  <c:v>-0.1</c:v>
                </c:pt>
                <c:pt idx="7">
                  <c:v>-2.8000000000000001E-2</c:v>
                </c:pt>
                <c:pt idx="8">
                  <c:v>0.184</c:v>
                </c:pt>
                <c:pt idx="9">
                  <c:v>7.3999999999999996E-2</c:v>
                </c:pt>
                <c:pt idx="10">
                  <c:v>6.3E-2</c:v>
                </c:pt>
                <c:pt idx="11">
                  <c:v>0.11899999999999999</c:v>
                </c:pt>
                <c:pt idx="12">
                  <c:v>4.7E-2</c:v>
                </c:pt>
                <c:pt idx="13">
                  <c:v>0.14199999999999999</c:v>
                </c:pt>
                <c:pt idx="14">
                  <c:v>0.246</c:v>
                </c:pt>
                <c:pt idx="15">
                  <c:v>9.0999999999999998E-2</c:v>
                </c:pt>
                <c:pt idx="16">
                  <c:v>6.8000000000000005E-2</c:v>
                </c:pt>
                <c:pt idx="17">
                  <c:v>7.0000000000000001E-3</c:v>
                </c:pt>
                <c:pt idx="18">
                  <c:v>0.19900000000000001</c:v>
                </c:pt>
                <c:pt idx="19">
                  <c:v>0.112</c:v>
                </c:pt>
                <c:pt idx="20">
                  <c:v>1E-3</c:v>
                </c:pt>
                <c:pt idx="21">
                  <c:v>5.1999999999999998E-2</c:v>
                </c:pt>
                <c:pt idx="22">
                  <c:v>0.05</c:v>
                </c:pt>
                <c:pt idx="23">
                  <c:v>2.3E-2</c:v>
                </c:pt>
                <c:pt idx="24">
                  <c:v>-3.6999999999999998E-2</c:v>
                </c:pt>
                <c:pt idx="25">
                  <c:v>3.0000000000000001E-3</c:v>
                </c:pt>
                <c:pt idx="26">
                  <c:v>-6.0999999999999999E-2</c:v>
                </c:pt>
                <c:pt idx="27">
                  <c:v>-8.4000000000000005E-2</c:v>
                </c:pt>
                <c:pt idx="28">
                  <c:v>5.8000000000000003E-2</c:v>
                </c:pt>
                <c:pt idx="29">
                  <c:v>0.193</c:v>
                </c:pt>
                <c:pt idx="30">
                  <c:v>-0.11700000000000001</c:v>
                </c:pt>
                <c:pt idx="31">
                  <c:v>-0.109</c:v>
                </c:pt>
              </c:numCache>
            </c:numRef>
          </c:val>
          <c:extLst>
            <c:ext xmlns:c16="http://schemas.microsoft.com/office/drawing/2014/chart" uri="{C3380CC4-5D6E-409C-BE32-E72D297353CC}">
              <c16:uniqueId val="{00000000-F570-4FC4-9CA7-515B2376C045}"/>
            </c:ext>
          </c:extLst>
        </c:ser>
        <c:dLbls>
          <c:showLegendKey val="0"/>
          <c:showVal val="0"/>
          <c:showCatName val="0"/>
          <c:showSerName val="0"/>
          <c:showPercent val="0"/>
          <c:showBubbleSize val="0"/>
        </c:dLbls>
        <c:gapWidth val="219"/>
        <c:overlap val="-27"/>
        <c:axId val="385869664"/>
        <c:axId val="385869184"/>
      </c:barChart>
      <c:catAx>
        <c:axId val="38586966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crossAx val="385869184"/>
        <c:crosses val="autoZero"/>
        <c:auto val="1"/>
        <c:lblAlgn val="ctr"/>
        <c:lblOffset val="100"/>
        <c:noMultiLvlLbl val="0"/>
      </c:catAx>
      <c:valAx>
        <c:axId val="385869184"/>
        <c:scaling>
          <c:orientation val="minMax"/>
        </c:scaling>
        <c:delete val="0"/>
        <c:axPos val="l"/>
        <c:majorGridlines>
          <c:spPr>
            <a:ln w="9525">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crossAx val="3858696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D7A934EF-870C-554D-8AF7-B5928452C3CC}">
  <we:reference id="wa200005826" version="1.8.0.0" store="en-GB" storeType="OMEX"/>
  <we:alternateReferences>
    <we:reference id="wa200005826" version="1.8.0.0" store="wa200005826"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76B830DF-2B8A-9041-B289-3184A4F61816}">
  <we:reference id="wa200007559" version="12.0.5.0" store="en-GB" storeType="OMEX"/>
  <we:alternateReferences>
    <we:reference id="WA200007559" version="12.0.5.0" store="" storeType="OMEX"/>
  </we:alternateReferences>
  <we:properties>
    <we:property name="AntidoteWordID" value="&quot;24ce2c41-308d-4ab3-8880-4c01ead0490a&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11</Pages>
  <Words>3304</Words>
  <Characters>18174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Hibert</dc:creator>
  <cp:keywords/>
  <dc:description/>
  <cp:lastModifiedBy>Thomas Hibert</cp:lastModifiedBy>
  <cp:revision>2</cp:revision>
  <cp:lastPrinted>2024-11-03T16:40:00Z</cp:lastPrinted>
  <dcterms:created xsi:type="dcterms:W3CDTF">2024-11-03T16:42:00Z</dcterms:created>
  <dcterms:modified xsi:type="dcterms:W3CDTF">2024-11-03T16:42:00Z</dcterms:modified>
</cp:coreProperties>
</file>